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2"/>
          <w:szCs w:val="32"/>
        </w:rPr>
      </w:pPr>
      <w:r>
        <w:rPr>
          <w:rFonts w:hint="eastAsia"/>
          <w:sz w:val="32"/>
          <w:szCs w:val="32"/>
        </w:rPr>
        <w:t>已完成项目网上公布表</w:t>
      </w:r>
    </w:p>
    <w:tbl>
      <w:tblPr>
        <w:tblStyle w:val="10"/>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76"/>
        <w:gridCol w:w="1985"/>
        <w:gridCol w:w="566"/>
        <w:gridCol w:w="492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6" w:type="pct"/>
          </w:tcPr>
          <w:p>
            <w:pPr>
              <w:rPr>
                <w:rFonts w:hint="eastAsia"/>
                <w:sz w:val="24"/>
                <w:szCs w:val="24"/>
              </w:rPr>
            </w:pPr>
            <w:r>
              <w:rPr>
                <w:sz w:val="24"/>
                <w:szCs w:val="24"/>
              </w:rPr>
              <w:br w:type="page"/>
            </w:r>
            <w:r>
              <w:rPr>
                <w:rFonts w:hint="eastAsia"/>
                <w:sz w:val="24"/>
                <w:szCs w:val="24"/>
              </w:rPr>
              <w:t>安全评价项目名称：</w:t>
            </w:r>
          </w:p>
        </w:tc>
        <w:tc>
          <w:tcPr>
            <w:tcW w:w="3794" w:type="pct"/>
            <w:gridSpan w:val="3"/>
          </w:tcPr>
          <w:p>
            <w:pPr>
              <w:rPr>
                <w:rFonts w:hint="default" w:eastAsiaTheme="minorEastAsia"/>
                <w:lang w:val="en-US" w:eastAsia="zh-CN"/>
              </w:rPr>
            </w:pPr>
            <w:r>
              <w:rPr>
                <w:rFonts w:hint="eastAsia"/>
                <w:sz w:val="24"/>
                <w:szCs w:val="24"/>
                <w:highlight w:val="none"/>
                <w:lang w:val="en-US" w:eastAsia="zh-CN"/>
              </w:rPr>
              <w:t>大广高速南康北服务区东LNG加气站安全验收</w:t>
            </w:r>
            <w:r>
              <w:rPr>
                <w:rFonts w:hint="eastAsia"/>
                <w:sz w:val="24"/>
                <w:szCs w:val="24"/>
                <w:highlight w:val="none"/>
              </w:rPr>
              <w:t>评价报告</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6" w:type="pct"/>
          </w:tcPr>
          <w:p>
            <w:pPr>
              <w:rPr>
                <w:rFonts w:hint="eastAsia"/>
                <w:sz w:val="24"/>
                <w:szCs w:val="24"/>
              </w:rPr>
            </w:pPr>
            <w:r>
              <w:rPr>
                <w:rFonts w:hint="eastAsia"/>
                <w:sz w:val="24"/>
                <w:szCs w:val="24"/>
                <w:lang w:val="en-US" w:eastAsia="zh-CN"/>
              </w:rPr>
              <w:t>公司</w:t>
            </w:r>
            <w:r>
              <w:rPr>
                <w:rFonts w:hint="eastAsia"/>
                <w:sz w:val="24"/>
                <w:szCs w:val="24"/>
              </w:rPr>
              <w:t>名称：</w:t>
            </w:r>
          </w:p>
        </w:tc>
        <w:tc>
          <w:tcPr>
            <w:tcW w:w="3794" w:type="pct"/>
            <w:gridSpan w:val="3"/>
          </w:tcPr>
          <w:p>
            <w:pPr>
              <w:rPr>
                <w:rFonts w:hint="default" w:eastAsiaTheme="minorEastAsia"/>
                <w:lang w:val="en-US" w:eastAsia="zh-CN"/>
              </w:rPr>
            </w:pPr>
            <w:r>
              <w:rPr>
                <w:rFonts w:hint="eastAsia"/>
                <w:sz w:val="24"/>
                <w:szCs w:val="24"/>
                <w:highlight w:val="none"/>
                <w:lang w:val="en-US" w:eastAsia="zh-CN"/>
              </w:rPr>
              <w:t>江西省高速实化新能源有限责任公司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06" w:type="pct"/>
          </w:tcPr>
          <w:p>
            <w:pPr>
              <w:rPr>
                <w:rFonts w:hint="eastAsia"/>
                <w:sz w:val="24"/>
                <w:szCs w:val="24"/>
              </w:rPr>
            </w:pPr>
            <w:r>
              <w:rPr>
                <w:rFonts w:hint="eastAsia"/>
                <w:sz w:val="24"/>
                <w:szCs w:val="24"/>
              </w:rPr>
              <w:t>简介：</w:t>
            </w:r>
          </w:p>
        </w:tc>
        <w:tc>
          <w:tcPr>
            <w:tcW w:w="3794" w:type="pct"/>
            <w:gridSpan w:val="3"/>
          </w:tcPr>
          <w:p>
            <w:pPr>
              <w:rPr>
                <w:rFonts w:hint="eastAsia"/>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00" w:type="pct"/>
            <w:gridSpan w:val="4"/>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lang w:eastAsia="zh-CN"/>
              </w:rPr>
            </w:pPr>
            <w:r>
              <w:rPr>
                <w:rFonts w:hint="eastAsia" w:eastAsia="宋体"/>
                <w:lang w:eastAsia="zh-CN"/>
              </w:rPr>
              <w:t>本报告为</w:t>
            </w:r>
            <w:r>
              <w:rPr>
                <w:rFonts w:hint="eastAsia" w:eastAsia="宋体"/>
                <w:lang w:val="zh-CN" w:eastAsia="zh-CN"/>
              </w:rPr>
              <w:t>江西省高速实化新能源有限责任公司大广高速南康北服务区</w:t>
            </w:r>
            <w:r>
              <w:rPr>
                <w:rFonts w:hint="eastAsia" w:eastAsia="宋体"/>
                <w:lang w:val="en-US" w:eastAsia="zh-CN"/>
              </w:rPr>
              <w:t>东（</w:t>
            </w:r>
            <w:r>
              <w:rPr>
                <w:rFonts w:hint="eastAsia" w:eastAsia="宋体"/>
                <w:lang w:eastAsia="zh-CN"/>
              </w:rPr>
              <w:t>LNG</w:t>
            </w:r>
            <w:r>
              <w:rPr>
                <w:rFonts w:hint="eastAsia" w:eastAsia="宋体"/>
                <w:lang w:val="en-US" w:eastAsia="zh-CN"/>
              </w:rPr>
              <w:t>）</w:t>
            </w:r>
            <w:r>
              <w:rPr>
                <w:rFonts w:hint="eastAsia" w:eastAsia="宋体"/>
                <w:lang w:val="zh-CN" w:eastAsia="zh-CN"/>
              </w:rPr>
              <w:t>加气站</w:t>
            </w:r>
            <w:r>
              <w:rPr>
                <w:rFonts w:hint="eastAsia" w:eastAsia="宋体"/>
                <w:lang w:eastAsia="zh-CN"/>
              </w:rPr>
              <w:t>的安全验收评价报告。</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lang w:eastAsia="zh-CN"/>
              </w:rPr>
            </w:pPr>
            <w:r>
              <w:rPr>
                <w:rFonts w:hint="eastAsia" w:eastAsia="宋体"/>
                <w:lang w:val="zh-CN" w:eastAsia="zh-CN"/>
              </w:rPr>
              <w:t>江西高速实化新能源有限责任公司成立于</w:t>
            </w:r>
            <w:r>
              <w:rPr>
                <w:rFonts w:hint="eastAsia" w:eastAsia="宋体"/>
                <w:lang w:val="en-US" w:eastAsia="zh-CN"/>
              </w:rPr>
              <w:t>2018年5月，法人代表人刘东文；</w:t>
            </w:r>
            <w:r>
              <w:rPr>
                <w:rFonts w:hint="eastAsia" w:eastAsia="宋体"/>
                <w:lang w:val="zh-CN" w:eastAsia="zh-CN"/>
              </w:rPr>
              <w:t>江西省高速实化新能源有限责任公司大广高速南康北服务区</w:t>
            </w:r>
            <w:r>
              <w:rPr>
                <w:rFonts w:hint="eastAsia" w:eastAsia="宋体"/>
                <w:lang w:val="en-US" w:eastAsia="zh-CN"/>
              </w:rPr>
              <w:t>东（</w:t>
            </w:r>
            <w:r>
              <w:rPr>
                <w:rFonts w:hint="eastAsia" w:eastAsia="宋体"/>
                <w:lang w:eastAsia="zh-CN"/>
              </w:rPr>
              <w:t>LNG</w:t>
            </w:r>
            <w:r>
              <w:rPr>
                <w:rFonts w:hint="eastAsia" w:eastAsia="宋体"/>
                <w:lang w:val="en-US" w:eastAsia="zh-CN"/>
              </w:rPr>
              <w:t>）</w:t>
            </w:r>
            <w:r>
              <w:rPr>
                <w:rFonts w:hint="eastAsia" w:eastAsia="宋体"/>
                <w:lang w:val="zh-CN" w:eastAsia="zh-CN"/>
              </w:rPr>
              <w:t>加气站属于江西高速实化新能源有限责任公司分公司，于20</w:t>
            </w:r>
            <w:r>
              <w:rPr>
                <w:rFonts w:hint="eastAsia" w:eastAsia="宋体"/>
                <w:lang w:val="en-US" w:eastAsia="zh-CN"/>
              </w:rPr>
              <w:t>21</w:t>
            </w:r>
            <w:r>
              <w:rPr>
                <w:rFonts w:hint="eastAsia" w:eastAsia="宋体"/>
                <w:lang w:val="zh-CN" w:eastAsia="zh-CN"/>
              </w:rPr>
              <w:t>年</w:t>
            </w:r>
            <w:r>
              <w:rPr>
                <w:rFonts w:hint="eastAsia" w:eastAsia="宋体"/>
                <w:lang w:val="en-US" w:eastAsia="zh-CN"/>
              </w:rPr>
              <w:t>7月</w:t>
            </w:r>
            <w:r>
              <w:rPr>
                <w:rFonts w:hint="eastAsia" w:eastAsia="宋体"/>
                <w:lang w:val="zh-CN" w:eastAsia="zh-CN"/>
              </w:rPr>
              <w:t>注册成立，营业场所为江西省</w:t>
            </w:r>
            <w:r>
              <w:rPr>
                <w:rFonts w:hint="eastAsia" w:eastAsia="宋体"/>
                <w:lang w:eastAsia="zh-CN"/>
              </w:rPr>
              <w:t>大广高速南康北服务区</w:t>
            </w:r>
            <w:r>
              <w:rPr>
                <w:rFonts w:hint="eastAsia" w:eastAsia="宋体"/>
                <w:lang w:val="en-US" w:eastAsia="zh-CN"/>
              </w:rPr>
              <w:t>东</w:t>
            </w:r>
            <w:r>
              <w:rPr>
                <w:rFonts w:hint="eastAsia" w:eastAsia="宋体"/>
                <w:lang w:val="zh-CN" w:eastAsia="zh-CN"/>
              </w:rPr>
              <w:t>侧，</w:t>
            </w:r>
            <w:r>
              <w:rPr>
                <w:rFonts w:hint="eastAsia" w:eastAsia="宋体"/>
                <w:lang w:val="en-US" w:eastAsia="zh-CN"/>
              </w:rPr>
              <w:t>主要负责人</w:t>
            </w:r>
            <w:r>
              <w:rPr>
                <w:rFonts w:hint="eastAsia" w:eastAsia="宋体"/>
                <w:lang w:val="zh-CN" w:eastAsia="zh-CN"/>
              </w:rPr>
              <w:t>为</w:t>
            </w:r>
            <w:r>
              <w:rPr>
                <w:rFonts w:hint="eastAsia" w:eastAsia="宋体"/>
                <w:lang w:val="en-US" w:eastAsia="zh-CN"/>
              </w:rPr>
              <w:t>刘葳</w:t>
            </w:r>
            <w:r>
              <w:rPr>
                <w:rFonts w:hint="eastAsia" w:eastAsia="宋体"/>
                <w:lang w:val="zh-CN" w:eastAsia="zh-CN"/>
              </w:rPr>
              <w:t>。江西省高速实化新能源有限责任公司大广高速南康北服务区</w:t>
            </w:r>
            <w:r>
              <w:rPr>
                <w:rFonts w:hint="eastAsia" w:eastAsia="宋体"/>
                <w:lang w:val="en-US" w:eastAsia="zh-CN"/>
              </w:rPr>
              <w:t>东（</w:t>
            </w:r>
            <w:r>
              <w:rPr>
                <w:rFonts w:hint="eastAsia" w:eastAsia="宋体"/>
                <w:lang w:eastAsia="zh-CN"/>
              </w:rPr>
              <w:t>LNG</w:t>
            </w:r>
            <w:r>
              <w:rPr>
                <w:rFonts w:hint="eastAsia" w:eastAsia="宋体"/>
                <w:lang w:val="en-US" w:eastAsia="zh-CN"/>
              </w:rPr>
              <w:t>）</w:t>
            </w:r>
            <w:r>
              <w:rPr>
                <w:rFonts w:hint="eastAsia" w:eastAsia="宋体"/>
                <w:lang w:val="zh-CN" w:eastAsia="zh-CN"/>
              </w:rPr>
              <w:t>加气站建在赣州市大广高速南康北服务区东侧。该加气站未与服务区</w:t>
            </w:r>
            <w:r>
              <w:rPr>
                <w:rFonts w:hint="eastAsia" w:eastAsia="宋体"/>
                <w:lang w:val="en-US" w:eastAsia="zh-CN"/>
              </w:rPr>
              <w:t>中国石油</w:t>
            </w:r>
            <w:r>
              <w:rPr>
                <w:rFonts w:hint="eastAsia" w:eastAsia="宋体"/>
                <w:lang w:val="zh-CN" w:eastAsia="zh-CN"/>
              </w:rPr>
              <w:t>加油站合建，为单独建站。</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eastAsia="宋体"/>
                <w:lang w:eastAsia="zh-CN"/>
              </w:rPr>
            </w:pPr>
            <w:r>
              <w:rPr>
                <w:rFonts w:hint="eastAsia" w:eastAsia="宋体"/>
                <w:lang w:val="zh-CN" w:eastAsia="zh-CN"/>
              </w:rPr>
              <w:t>江西省高速实化新能源有限责任公司大广高速南康北服务区</w:t>
            </w:r>
            <w:r>
              <w:rPr>
                <w:rFonts w:hint="eastAsia" w:eastAsia="宋体"/>
                <w:lang w:val="en-US" w:eastAsia="zh-CN"/>
              </w:rPr>
              <w:t>东（</w:t>
            </w:r>
            <w:r>
              <w:rPr>
                <w:rFonts w:hint="eastAsia" w:eastAsia="宋体"/>
                <w:lang w:eastAsia="zh-CN"/>
              </w:rPr>
              <w:t>LNG</w:t>
            </w:r>
            <w:r>
              <w:rPr>
                <w:rFonts w:hint="eastAsia" w:eastAsia="宋体"/>
                <w:lang w:val="en-US" w:eastAsia="zh-CN"/>
              </w:rPr>
              <w:t>）</w:t>
            </w:r>
            <w:r>
              <w:rPr>
                <w:rFonts w:hint="eastAsia" w:eastAsia="宋体"/>
                <w:lang w:val="zh-CN" w:eastAsia="zh-CN"/>
              </w:rPr>
              <w:t>加气站</w:t>
            </w:r>
            <w:r>
              <w:rPr>
                <w:rFonts w:hint="eastAsia" w:eastAsia="宋体"/>
                <w:lang w:eastAsia="zh-CN"/>
              </w:rPr>
              <w:t>（以下简称“该加气站”）总投资</w:t>
            </w:r>
            <w:r>
              <w:rPr>
                <w:rFonts w:hint="eastAsia" w:eastAsia="宋体"/>
                <w:lang w:val="en-US" w:eastAsia="zh-CN"/>
              </w:rPr>
              <w:t>约792</w:t>
            </w:r>
            <w:r>
              <w:rPr>
                <w:rFonts w:hint="eastAsia" w:eastAsia="宋体"/>
                <w:lang w:eastAsia="zh-CN"/>
              </w:rPr>
              <w:t>万元，站内分为1套</w:t>
            </w:r>
            <w:r>
              <w:rPr>
                <w:rFonts w:hint="eastAsia" w:eastAsia="宋体"/>
                <w:lang w:val="en-US" w:eastAsia="zh-CN"/>
              </w:rPr>
              <w:t>LNG</w:t>
            </w:r>
            <w:r>
              <w:rPr>
                <w:rFonts w:hint="eastAsia" w:eastAsia="宋体"/>
                <w:lang w:eastAsia="zh-CN"/>
              </w:rPr>
              <w:t>全撬装设备和1栋</w:t>
            </w:r>
            <w:r>
              <w:rPr>
                <w:rFonts w:hint="eastAsia" w:eastAsia="宋体"/>
                <w:lang w:val="en-US" w:eastAsia="zh-CN"/>
              </w:rPr>
              <w:t>站</w:t>
            </w:r>
            <w:r>
              <w:rPr>
                <w:rFonts w:hint="eastAsia" w:eastAsia="宋体"/>
                <w:lang w:eastAsia="zh-CN"/>
              </w:rPr>
              <w:t>房。</w:t>
            </w:r>
            <w:r>
              <w:rPr>
                <w:rFonts w:hint="eastAsia" w:eastAsia="宋体"/>
                <w:lang w:val="en-US" w:eastAsia="zh-CN"/>
              </w:rPr>
              <w:t>该加气站</w:t>
            </w:r>
            <w:r>
              <w:rPr>
                <w:rFonts w:hint="eastAsia" w:eastAsia="宋体"/>
                <w:lang w:eastAsia="zh-CN"/>
              </w:rPr>
              <w:t>设置LNG全橇装设备1套，LNG全橇装设备包含：60m3 地上LNG储罐1台，2台潜液泵（一用一备），300Nm3/h卸车增压气化器1台，150Nm3/h低压EAG加热器1台，单枪LNG加气机2台。根据《汽车加油加气加氢站技术标准》GB50156-20</w:t>
            </w:r>
            <w:r>
              <w:rPr>
                <w:rFonts w:hint="eastAsia" w:eastAsia="宋体"/>
                <w:lang w:val="en-US" w:eastAsia="zh-CN"/>
              </w:rPr>
              <w:t>21</w:t>
            </w:r>
            <w:r>
              <w:rPr>
                <w:rFonts w:hint="eastAsia" w:eastAsia="宋体"/>
                <w:lang w:eastAsia="zh-CN"/>
              </w:rPr>
              <w:t>第3.0.12条规定，为三级LNG加气站。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pPr>
              <w:rPr>
                <w:rFonts w:hint="eastAsia"/>
                <w:sz w:val="24"/>
                <w:szCs w:val="24"/>
              </w:rPr>
            </w:pPr>
            <w:r>
              <w:rPr>
                <w:rFonts w:hint="eastAsia"/>
                <w:sz w:val="24"/>
                <w:szCs w:val="24"/>
              </w:rPr>
              <w:t>安全评价项目组长：</w:t>
            </w:r>
          </w:p>
        </w:tc>
        <w:tc>
          <w:tcPr>
            <w:tcW w:w="2787" w:type="pct"/>
            <w:gridSpan w:val="2"/>
          </w:tcPr>
          <w:p>
            <w:pPr>
              <w:rPr>
                <w:rFonts w:hint="default" w:eastAsiaTheme="minorEastAsia"/>
                <w:sz w:val="24"/>
                <w:szCs w:val="24"/>
                <w:lang w:val="en-US" w:eastAsia="zh-CN"/>
              </w:rPr>
            </w:pPr>
            <w:r>
              <w:rPr>
                <w:rFonts w:hint="eastAsia"/>
                <w:sz w:val="24"/>
                <w:szCs w:val="24"/>
                <w:lang w:val="en-US" w:eastAsia="zh-CN"/>
              </w:rPr>
              <w:t>谢寒梅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pPr>
              <w:rPr>
                <w:rFonts w:hint="eastAsia"/>
                <w:sz w:val="24"/>
                <w:szCs w:val="24"/>
              </w:rPr>
            </w:pPr>
            <w:r>
              <w:rPr>
                <w:rFonts w:hint="eastAsia"/>
                <w:sz w:val="24"/>
                <w:szCs w:val="24"/>
              </w:rPr>
              <w:t>技术负责人：</w:t>
            </w:r>
          </w:p>
        </w:tc>
        <w:tc>
          <w:tcPr>
            <w:tcW w:w="2787" w:type="pct"/>
            <w:gridSpan w:val="2"/>
          </w:tcPr>
          <w:p>
            <w:pPr>
              <w:rPr>
                <w:rFonts w:hint="default" w:eastAsiaTheme="minorEastAsia"/>
                <w:sz w:val="24"/>
                <w:szCs w:val="24"/>
                <w:lang w:val="en-US" w:eastAsia="zh-CN"/>
              </w:rPr>
            </w:pPr>
            <w:r>
              <w:rPr>
                <w:rFonts w:hint="eastAsia"/>
                <w:sz w:val="24"/>
                <w:szCs w:val="24"/>
                <w:lang w:val="en-US" w:eastAsia="zh-CN"/>
              </w:rPr>
              <w:t>周红波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pPr>
              <w:rPr>
                <w:rFonts w:hint="eastAsia"/>
                <w:sz w:val="24"/>
                <w:szCs w:val="24"/>
              </w:rPr>
            </w:pPr>
            <w:r>
              <w:rPr>
                <w:rFonts w:hint="eastAsia"/>
                <w:sz w:val="24"/>
                <w:szCs w:val="24"/>
              </w:rPr>
              <w:t>过程控制负责人：</w:t>
            </w:r>
          </w:p>
        </w:tc>
        <w:tc>
          <w:tcPr>
            <w:tcW w:w="2787" w:type="pct"/>
            <w:gridSpan w:val="2"/>
          </w:tcPr>
          <w:p>
            <w:pPr>
              <w:rPr>
                <w:rFonts w:hint="default" w:eastAsiaTheme="minorEastAsia"/>
                <w:sz w:val="24"/>
                <w:szCs w:val="24"/>
                <w:lang w:val="en-US" w:eastAsia="zh-CN"/>
              </w:rPr>
            </w:pPr>
            <w:r>
              <w:rPr>
                <w:rFonts w:hint="eastAsia"/>
                <w:sz w:val="24"/>
                <w:szCs w:val="24"/>
                <w:lang w:val="en-US" w:eastAsia="zh-CN"/>
              </w:rPr>
              <w:t>檀廷斌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pPr>
              <w:rPr>
                <w:rFonts w:hint="eastAsia"/>
                <w:sz w:val="24"/>
                <w:szCs w:val="24"/>
              </w:rPr>
            </w:pPr>
            <w:r>
              <w:rPr>
                <w:rFonts w:hint="eastAsia"/>
                <w:sz w:val="24"/>
                <w:szCs w:val="24"/>
              </w:rPr>
              <w:t>评价报告编制人：</w:t>
            </w:r>
          </w:p>
        </w:tc>
        <w:tc>
          <w:tcPr>
            <w:tcW w:w="2787" w:type="pct"/>
            <w:gridSpan w:val="2"/>
          </w:tcPr>
          <w:p>
            <w:pPr>
              <w:rPr>
                <w:rFonts w:hint="default" w:eastAsiaTheme="minorEastAsia"/>
                <w:sz w:val="24"/>
                <w:szCs w:val="24"/>
                <w:lang w:val="en-US" w:eastAsia="zh-CN"/>
              </w:rPr>
            </w:pPr>
            <w:r>
              <w:rPr>
                <w:rFonts w:hint="eastAsia"/>
                <w:sz w:val="24"/>
                <w:szCs w:val="24"/>
                <w:lang w:val="en-US" w:eastAsia="zh-CN"/>
              </w:rPr>
              <w:t>郑强、谢寒梅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pPr>
              <w:rPr>
                <w:rFonts w:hint="eastAsia"/>
                <w:sz w:val="24"/>
                <w:szCs w:val="24"/>
              </w:rPr>
            </w:pPr>
            <w:r>
              <w:rPr>
                <w:rFonts w:hint="eastAsia"/>
                <w:sz w:val="24"/>
                <w:szCs w:val="24"/>
              </w:rPr>
              <w:t>报告审核人：</w:t>
            </w:r>
          </w:p>
        </w:tc>
        <w:tc>
          <w:tcPr>
            <w:tcW w:w="2787" w:type="pct"/>
            <w:gridSpan w:val="2"/>
          </w:tcPr>
          <w:p>
            <w:pPr>
              <w:rPr>
                <w:rFonts w:hint="default" w:eastAsiaTheme="minorEastAsia"/>
                <w:sz w:val="24"/>
                <w:szCs w:val="24"/>
                <w:lang w:val="en-US" w:eastAsia="zh-CN"/>
              </w:rPr>
            </w:pPr>
            <w:r>
              <w:rPr>
                <w:rFonts w:hint="eastAsia"/>
                <w:sz w:val="24"/>
                <w:szCs w:val="24"/>
                <w:lang w:val="en-US" w:eastAsia="zh-CN"/>
              </w:rPr>
              <w:t>戴磷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pPr>
              <w:rPr>
                <w:rFonts w:hint="eastAsia"/>
                <w:sz w:val="24"/>
                <w:szCs w:val="24"/>
              </w:rPr>
            </w:pPr>
            <w:r>
              <w:rPr>
                <w:rFonts w:hint="eastAsia"/>
                <w:sz w:val="24"/>
                <w:szCs w:val="24"/>
              </w:rPr>
              <w:t>参与评价工作的安全评价师：</w:t>
            </w:r>
          </w:p>
        </w:tc>
        <w:tc>
          <w:tcPr>
            <w:tcW w:w="2787" w:type="pct"/>
            <w:gridSpan w:val="2"/>
          </w:tcPr>
          <w:p>
            <w:pPr>
              <w:rPr>
                <w:rFonts w:hint="default" w:eastAsiaTheme="minorEastAsia"/>
                <w:sz w:val="24"/>
                <w:szCs w:val="24"/>
                <w:lang w:val="en-US" w:eastAsia="zh-CN"/>
              </w:rPr>
            </w:pPr>
            <w:r>
              <w:rPr>
                <w:rFonts w:hint="eastAsia"/>
                <w:sz w:val="24"/>
                <w:szCs w:val="24"/>
                <w:lang w:val="en-US" w:eastAsia="zh-CN"/>
              </w:rPr>
              <w:t>谢寒梅、罗沙浪、郑强、王波、王冠、檀廷斌、戴磷、周红波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pPr>
              <w:rPr>
                <w:rFonts w:hint="eastAsia"/>
                <w:sz w:val="24"/>
                <w:szCs w:val="24"/>
              </w:rPr>
            </w:pPr>
            <w:r>
              <w:rPr>
                <w:rFonts w:hint="eastAsia"/>
                <w:sz w:val="24"/>
                <w:szCs w:val="24"/>
              </w:rPr>
              <w:t>注册安全工程师：</w:t>
            </w:r>
          </w:p>
        </w:tc>
        <w:tc>
          <w:tcPr>
            <w:tcW w:w="2787" w:type="pct"/>
            <w:gridSpan w:val="2"/>
          </w:tcPr>
          <w:p>
            <w:pPr>
              <w:rPr>
                <w:rFonts w:hint="default" w:eastAsiaTheme="minorEastAsia"/>
                <w:sz w:val="24"/>
                <w:szCs w:val="24"/>
                <w:lang w:val="en-US" w:eastAsia="zh-CN"/>
              </w:rPr>
            </w:pPr>
            <w:r>
              <w:rPr>
                <w:rFonts w:hint="eastAsia"/>
                <w:sz w:val="24"/>
                <w:szCs w:val="24"/>
                <w:lang w:val="en-US" w:eastAsia="zh-CN"/>
              </w:rPr>
              <w:t>谢寒梅、罗沙浪、郑强、王波、王冠、檀廷斌、戴磷、周红波</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pPr>
              <w:rPr>
                <w:rFonts w:hint="eastAsia"/>
                <w:sz w:val="24"/>
                <w:szCs w:val="24"/>
              </w:rPr>
            </w:pPr>
            <w:r>
              <w:rPr>
                <w:rFonts w:hint="eastAsia"/>
                <w:sz w:val="24"/>
                <w:szCs w:val="24"/>
              </w:rPr>
              <w:t>技术专家：</w:t>
            </w:r>
          </w:p>
        </w:tc>
        <w:tc>
          <w:tcPr>
            <w:tcW w:w="2787" w:type="pct"/>
            <w:gridSpan w:val="2"/>
          </w:tcPr>
          <w:p>
            <w:pPr>
              <w:rPr>
                <w:rFonts w:hint="eastAsia" w:eastAsiaTheme="minorEastAsia"/>
                <w:sz w:val="24"/>
                <w:szCs w:val="24"/>
                <w:lang w:val="en-US" w:eastAsia="zh-CN"/>
              </w:rPr>
            </w:pPr>
            <w:r>
              <w:rPr>
                <w:rFonts w:hint="eastAsia"/>
                <w:sz w:val="24"/>
                <w:szCs w:val="24"/>
                <w:lang w:val="en-US" w:eastAsia="zh-CN"/>
              </w:rPr>
              <w:t>秦赋江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pPr>
              <w:rPr>
                <w:rFonts w:hint="eastAsia"/>
                <w:sz w:val="24"/>
                <w:szCs w:val="24"/>
              </w:rPr>
            </w:pPr>
            <w:r>
              <w:rPr>
                <w:rFonts w:hint="eastAsia"/>
                <w:sz w:val="24"/>
                <w:szCs w:val="24"/>
              </w:rPr>
              <w:t>到现场开展安全评价工作的人员名单：</w:t>
            </w:r>
          </w:p>
        </w:tc>
        <w:tc>
          <w:tcPr>
            <w:tcW w:w="2787" w:type="pct"/>
            <w:gridSpan w:val="2"/>
          </w:tcPr>
          <w:p>
            <w:pPr>
              <w:rPr>
                <w:rFonts w:hint="default" w:eastAsiaTheme="minorEastAsia"/>
                <w:sz w:val="24"/>
                <w:szCs w:val="24"/>
                <w:lang w:val="en-US" w:eastAsia="zh-CN"/>
              </w:rPr>
            </w:pPr>
            <w:r>
              <w:rPr>
                <w:rFonts w:hint="eastAsia"/>
                <w:sz w:val="24"/>
                <w:szCs w:val="24"/>
                <w:lang w:val="en-US" w:eastAsia="zh-CN"/>
              </w:rPr>
              <w:t>谢寒梅、郑强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pPr>
              <w:rPr>
                <w:rFonts w:hint="eastAsia"/>
                <w:sz w:val="24"/>
                <w:szCs w:val="24"/>
              </w:rPr>
            </w:pPr>
            <w:r>
              <w:rPr>
                <w:rFonts w:hint="eastAsia"/>
                <w:sz w:val="24"/>
                <w:szCs w:val="24"/>
              </w:rPr>
              <w:t>时间和主要任务：</w:t>
            </w:r>
          </w:p>
        </w:tc>
        <w:tc>
          <w:tcPr>
            <w:tcW w:w="2787" w:type="pct"/>
            <w:gridSpan w:val="2"/>
          </w:tcPr>
          <w:p>
            <w:pPr>
              <w:rPr>
                <w:rFonts w:hint="eastAsia"/>
                <w:sz w:val="24"/>
                <w:szCs w:val="24"/>
              </w:rPr>
            </w:pPr>
            <w:r>
              <w:rPr>
                <w:rFonts w:hint="default" w:ascii="Times New Roman" w:hAnsi="Times New Roman" w:cs="Times New Roman"/>
                <w:sz w:val="24"/>
                <w:szCs w:val="24"/>
              </w:rPr>
              <w:t>20</w:t>
            </w:r>
            <w:r>
              <w:rPr>
                <w:rFonts w:hint="eastAsia" w:ascii="Times New Roman" w:hAnsi="Times New Roman" w:cs="Times New Roman"/>
                <w:sz w:val="24"/>
                <w:szCs w:val="24"/>
                <w:lang w:val="en-US" w:eastAsia="zh-CN"/>
              </w:rPr>
              <w:t>23.10</w:t>
            </w:r>
            <w:r>
              <w:rPr>
                <w:rFonts w:hint="default" w:ascii="Times New Roman" w:hAnsi="Times New Roman" w:cs="Times New Roman"/>
                <w:sz w:val="24"/>
                <w:szCs w:val="24"/>
              </w:rPr>
              <w:t>；勘查现场及周边环境，查阅相关技术资料、现场调研，收集</w:t>
            </w:r>
            <w:r>
              <w:rPr>
                <w:rFonts w:hint="eastAsia" w:ascii="Times New Roman" w:hAnsi="Times New Roman" w:cs="Times New Roman"/>
                <w:sz w:val="24"/>
                <w:szCs w:val="24"/>
                <w:lang w:val="en-US" w:eastAsia="zh-CN"/>
              </w:rPr>
              <w:t>安全现状评价报告</w:t>
            </w:r>
            <w:r>
              <w:rPr>
                <w:rFonts w:hint="default" w:ascii="Times New Roman" w:hAnsi="Times New Roman" w:cs="Times New Roman"/>
                <w:sz w:val="24"/>
                <w:szCs w:val="24"/>
              </w:rPr>
              <w:t>的有关资料。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13" w:type="pct"/>
            <w:gridSpan w:val="2"/>
          </w:tcPr>
          <w:p>
            <w:pPr>
              <w:rPr>
                <w:rFonts w:hint="eastAsia"/>
                <w:sz w:val="24"/>
                <w:szCs w:val="24"/>
              </w:rPr>
            </w:pPr>
            <w:r>
              <w:rPr>
                <w:rFonts w:hint="eastAsia"/>
                <w:sz w:val="24"/>
                <w:szCs w:val="24"/>
              </w:rPr>
              <w:t>评价报告：</w:t>
            </w:r>
          </w:p>
        </w:tc>
        <w:tc>
          <w:tcPr>
            <w:tcW w:w="2787" w:type="pct"/>
            <w:gridSpan w:val="2"/>
          </w:tcPr>
          <w:p>
            <w:pPr>
              <w:rPr>
                <w:rFonts w:hint="eastAsia"/>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00" w:type="pct"/>
            <w:gridSpan w:val="4"/>
          </w:tcPr>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通过对江西省高速实化新能源有限责任公司大广高速南康北服务区东（LNG）加气站的危险、有害分析及定性、定量分析，结果为：</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bookmarkStart w:id="0" w:name="_Toc24032"/>
            <w:r>
              <w:rPr>
                <w:rFonts w:hint="eastAsia" w:ascii="Times New Roman" w:hAnsi="Times New Roman" w:cs="Times New Roman"/>
                <w:b w:val="0"/>
                <w:bCs w:val="0"/>
                <w:kern w:val="2"/>
                <w:sz w:val="24"/>
                <w:szCs w:val="24"/>
                <w:lang w:val="en-US" w:eastAsia="zh-CN" w:bidi="ar-SA"/>
              </w:rPr>
              <w:t>1、该项目 存在的主要危险因素有火灾和爆炸、中毒窒息、电气伤害、车辆伤害、物体打击、机械伤害、低温冻伤等；主要有害因素有有害物质、噪声等。需重点防范的危险有害因素为火灾、爆炸。</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2、根据《重点监管的危险化学品名录》（2013年版）及《重点监管的危险化学品安全措施和应急处置原则》（2013年版）的要求，LNG属于重点监管的危险化学品。</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3、 根据《特别管控危险化学品目录》（2020年版）的规定，该项目 LNG属于特别管控危险化学品。</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4、依据《易制毒化学品管理条例》（国务院令第445号）规定，该项目 不涉及易制毒化学品。</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5、依据公安部颁发的《易制爆危险化学品名录》（2017年版）辨识，该项目 不涉及易制爆化学品。</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6、依据《监控化学品管理条例》（国务院令第190号）规定，该项目 不涉及监控化学品。</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7、依据《危险化学品目录（2022年修订版）》，该项目 不涉及剧毒化学品。</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8、依据《高毒物品目录》（2003版）中的规定，该项目 不涉及高毒物品。</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9、根据《危险化学品重大危险源辨识》（GB18218-2018）的规定，该项目涉及的危险化学品天然气，不构成危险化学品重大危险源。</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10、采用危险度评价法进行评价，储气罐属高度危险程度。</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11、加气站总体布局合理，厂内通道运输物流、人流顺畅。站区内平面布置中各建（构）筑物、设备间的防火距离符合要求，人员安全通道、安全出口符合安全要求。</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12、在消防器材的配置上，加气站按照消防标准配置了灭火器材，能够满足消防的需要。</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13、电气设备设有多种保护和接地，建筑物、设备、管道的防雷接地和静电接地按规范进行了设置，接地的设置和接地电阻符合规范的要求。</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14、针对危险物质储存和运行过程中的危险因素，加气站采取了相应安全措施，压力容器、压力管道、压力表、安全阀等进行了校验，设备设施在运行正常和安全监控掌握当中，加气站总体危险有害因素和程度控制在可接受范围，项目公用工程、安全设施能够满足安全生产的需要。</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 xml:space="preserve">15、加气站设置有安全生产管理机构，配备了专职安全生产管理人员，制定了安全生产责任制和安全生产管理制度，编制了岗位操作规程和岗位安全技术规程，编制了事故应急救援预案并定期进行了演练，配备了事故应急设施、器材，人员经过相应的培训。安全管理方面符合安全生产要求。 </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0" w:firstLineChars="200"/>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16、加气站能按照《中华人民共和国安全生产法》的要求进行“三同时”报批，企业能够按照安全设施与主体工程同时设计、同时施工、同时投入生产和使用的“三同时”的要求进行。</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2" w:firstLineChars="200"/>
              <w:textAlignment w:val="auto"/>
              <w:rPr>
                <w:rFonts w:hint="eastAsia" w:ascii="Times New Roman" w:hAnsi="Times New Roman" w:cs="Times New Roman"/>
                <w:b/>
                <w:bCs/>
                <w:kern w:val="2"/>
                <w:sz w:val="24"/>
                <w:szCs w:val="24"/>
                <w:lang w:val="en-US" w:eastAsia="zh-CN" w:bidi="ar-SA"/>
              </w:rPr>
            </w:pPr>
            <w:r>
              <w:rPr>
                <w:rFonts w:hint="eastAsia" w:ascii="Times New Roman" w:hAnsi="Times New Roman" w:cs="Times New Roman"/>
                <w:b/>
                <w:bCs/>
                <w:kern w:val="2"/>
                <w:sz w:val="24"/>
                <w:szCs w:val="24"/>
                <w:lang w:val="en-US" w:eastAsia="zh-CN" w:bidi="ar-SA"/>
              </w:rPr>
              <w:t>项目安全验收评价结论</w:t>
            </w:r>
            <w:bookmarkEnd w:id="0"/>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2" w:firstLineChars="200"/>
              <w:textAlignment w:val="auto"/>
              <w:rPr>
                <w:rFonts w:hint="eastAsia" w:ascii="Times New Roman" w:hAnsi="Times New Roman" w:cs="Times New Roman"/>
                <w:b/>
                <w:bCs/>
                <w:kern w:val="2"/>
                <w:sz w:val="24"/>
                <w:szCs w:val="24"/>
                <w:lang w:val="en-US" w:eastAsia="zh-CN" w:bidi="ar-SA"/>
              </w:rPr>
            </w:pPr>
            <w:r>
              <w:rPr>
                <w:rFonts w:hint="eastAsia" w:ascii="Times New Roman" w:hAnsi="Times New Roman" w:cs="Times New Roman"/>
                <w:b/>
                <w:bCs/>
                <w:kern w:val="2"/>
                <w:sz w:val="24"/>
                <w:szCs w:val="24"/>
                <w:lang w:val="en-US" w:eastAsia="zh-CN" w:bidi="ar-SA"/>
              </w:rPr>
              <w:t>江西省高速实化新能源有限责任公司大广高速南康北服务区东（LNG）加气站所涉及的安全条件符合国家法律法规、相关标准规范的要求，安全装置和安全措施以及公用工程能够满足该项目 正常生产过程中安全生产的需要，加气站的安全管理能够满足安全生产的需要。</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2" w:firstLineChars="200"/>
              <w:textAlignment w:val="auto"/>
              <w:rPr>
                <w:rFonts w:hint="eastAsia" w:ascii="Times New Roman" w:hAnsi="Times New Roman" w:cs="Times New Roman"/>
                <w:b/>
                <w:bCs/>
                <w:kern w:val="2"/>
                <w:sz w:val="24"/>
                <w:szCs w:val="24"/>
                <w:lang w:val="en-US" w:eastAsia="zh-CN" w:bidi="ar-SA"/>
              </w:rPr>
            </w:pPr>
            <w:r>
              <w:rPr>
                <w:rFonts w:hint="eastAsia" w:ascii="Times New Roman" w:hAnsi="Times New Roman" w:cs="Times New Roman"/>
                <w:b/>
                <w:bCs/>
                <w:kern w:val="2"/>
                <w:sz w:val="24"/>
                <w:szCs w:val="24"/>
                <w:lang w:val="en-US" w:eastAsia="zh-CN" w:bidi="ar-SA"/>
              </w:rPr>
              <w:t>建议企业进一步加强安全管理，落实本报告提出的安全管理方面的建议和安全设施方面的对策措施，提高安全生产管理人员和职工的技术、技能水平和安全意识，维护好安全检测、控制和报警联锁设施，进一步提高项目本质安全度，达到安全生产的目的。</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2" w:firstLineChars="200"/>
              <w:textAlignment w:val="auto"/>
              <w:rPr>
                <w:rFonts w:hint="eastAsia" w:ascii="Times New Roman" w:hAnsi="Times New Roman" w:cs="Times New Roman"/>
                <w:b/>
                <w:bCs/>
                <w:kern w:val="2"/>
                <w:sz w:val="24"/>
                <w:szCs w:val="24"/>
                <w:lang w:val="en-US" w:eastAsia="zh-CN" w:bidi="ar-SA"/>
              </w:rPr>
            </w:pPr>
            <w:r>
              <w:rPr>
                <w:rFonts w:hint="eastAsia" w:ascii="Times New Roman" w:hAnsi="Times New Roman" w:cs="Times New Roman"/>
                <w:b/>
                <w:bCs/>
                <w:kern w:val="2"/>
                <w:sz w:val="24"/>
                <w:szCs w:val="24"/>
                <w:lang w:val="en-US" w:eastAsia="zh-CN" w:bidi="ar-SA"/>
              </w:rPr>
              <w:t>综上所述，江西省高速实化新能源有限责任公司大广高速南康北服务区东（LNG）加气站安全设施设计专篇设计的安全设施落实，符合国家安全生产方面的法律、法规、标准、规范的要求，具备安全验收条件。</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82" w:firstLineChars="200"/>
              <w:textAlignment w:val="auto"/>
              <w:rPr>
                <w:rFonts w:hint="eastAsia" w:ascii="Times New Roman" w:hAnsi="Times New Roman" w:cs="Times New Roman"/>
                <w:b/>
                <w:bCs/>
                <w:kern w:val="2"/>
                <w:sz w:val="24"/>
                <w:szCs w:val="24"/>
                <w:lang w:val="en-US" w:eastAsia="zh-CN" w:bidi="ar-SA"/>
              </w:rPr>
            </w:pPr>
            <w:r>
              <w:rPr>
                <w:rFonts w:hint="eastAsia" w:ascii="Times New Roman" w:hAnsi="Times New Roman" w:cs="Times New Roman"/>
                <w:b/>
                <w:bCs/>
                <w:kern w:val="2"/>
                <w:sz w:val="24"/>
                <w:szCs w:val="24"/>
                <w:lang w:val="en-US" w:eastAsia="zh-CN" w:bidi="ar-SA"/>
              </w:rPr>
              <w:t>现场照片</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Times New Roman" w:hAnsi="Times New Roman" w:eastAsia="宋体"/>
                <w:color w:val="auto"/>
                <w:sz w:val="28"/>
                <w:lang w:eastAsia="zh-CN"/>
              </w:rPr>
            </w:pPr>
            <w:r>
              <w:rPr>
                <w:rFonts w:hint="eastAsia" w:ascii="Times New Roman" w:hAnsi="Times New Roman" w:eastAsia="宋体"/>
                <w:color w:val="auto"/>
                <w:sz w:val="28"/>
                <w:lang w:eastAsia="zh-CN"/>
              </w:rPr>
              <w:drawing>
                <wp:inline distT="0" distB="0" distL="114300" distR="114300">
                  <wp:extent cx="5752465" cy="4316095"/>
                  <wp:effectExtent l="0" t="0" r="635" b="8255"/>
                  <wp:docPr id="1" name="图片 1" descr="微信图片_2023091215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0912155721"/>
                          <pic:cNvPicPr>
                            <a:picLocks noChangeAspect="1"/>
                          </pic:cNvPicPr>
                        </pic:nvPicPr>
                        <pic:blipFill>
                          <a:blip r:embed="rId4"/>
                          <a:stretch>
                            <a:fillRect/>
                          </a:stretch>
                        </pic:blipFill>
                        <pic:spPr>
                          <a:xfrm>
                            <a:off x="0" y="0"/>
                            <a:ext cx="5752465" cy="4316095"/>
                          </a:xfrm>
                          <a:prstGeom prst="rect">
                            <a:avLst/>
                          </a:prstGeom>
                          <a:noFill/>
                          <a:ln>
                            <a:noFill/>
                          </a:ln>
                        </pic:spPr>
                      </pic:pic>
                    </a:graphicData>
                  </a:graphic>
                </wp:inline>
              </w:drawing>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eastAsia="宋体"/>
                <w:b/>
                <w:bCs/>
                <w:color w:val="000000"/>
                <w:sz w:val="24"/>
                <w:szCs w:val="24"/>
                <w:lang w:val="en-US" w:eastAsia="zh-CN"/>
              </w:rPr>
            </w:pPr>
            <w:r>
              <w:rPr>
                <w:rFonts w:hint="eastAsia" w:eastAsia="宋体"/>
                <w:b/>
                <w:bCs/>
                <w:color w:val="000000"/>
                <w:sz w:val="24"/>
                <w:szCs w:val="24"/>
                <w:lang w:val="en-US" w:eastAsia="zh-CN"/>
              </w:rPr>
              <w:t>右一：谢寒梅</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eastAsia="宋体"/>
                <w:b/>
                <w:bCs/>
                <w:color w:val="000000"/>
                <w:sz w:val="24"/>
                <w:szCs w:val="24"/>
                <w:lang w:val="en-US" w:eastAsia="zh-CN"/>
              </w:rPr>
            </w:pPr>
            <w:r>
              <w:rPr>
                <w:rFonts w:hint="eastAsia" w:ascii="Times New Roman" w:hAnsi="Times New Roman" w:eastAsia="宋体"/>
                <w:color w:val="auto"/>
                <w:sz w:val="28"/>
                <w:lang w:eastAsia="zh-CN"/>
              </w:rPr>
              <w:drawing>
                <wp:inline distT="0" distB="0" distL="114300" distR="114300">
                  <wp:extent cx="4578350" cy="3723005"/>
                  <wp:effectExtent l="0" t="0" r="12700" b="10795"/>
                  <wp:docPr id="2" name="图片 2" descr="微信图片_2023102609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31026091340"/>
                          <pic:cNvPicPr>
                            <a:picLocks noChangeAspect="1"/>
                          </pic:cNvPicPr>
                        </pic:nvPicPr>
                        <pic:blipFill>
                          <a:blip r:embed="rId5"/>
                          <a:srcRect t="5750" b="15128"/>
                          <a:stretch>
                            <a:fillRect/>
                          </a:stretch>
                        </pic:blipFill>
                        <pic:spPr>
                          <a:xfrm>
                            <a:off x="0" y="0"/>
                            <a:ext cx="4578350" cy="3723005"/>
                          </a:xfrm>
                          <a:prstGeom prst="rect">
                            <a:avLst/>
                          </a:prstGeom>
                          <a:noFill/>
                          <a:ln>
                            <a:noFill/>
                          </a:ln>
                        </pic:spPr>
                      </pic:pic>
                    </a:graphicData>
                  </a:graphic>
                </wp:inline>
              </w:drawing>
            </w:r>
          </w:p>
          <w:p>
            <w:pPr>
              <w:pStyle w:val="16"/>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eastAsia="宋体"/>
                <w:b/>
                <w:bCs/>
                <w:color w:val="000000"/>
                <w:sz w:val="28"/>
                <w:szCs w:val="28"/>
                <w:lang w:val="en-US" w:eastAsia="zh-CN"/>
              </w:rPr>
            </w:pPr>
            <w:r>
              <w:rPr>
                <w:rFonts w:hint="eastAsia" w:eastAsia="宋体"/>
                <w:b/>
                <w:bCs/>
                <w:color w:val="000000"/>
                <w:sz w:val="24"/>
                <w:szCs w:val="24"/>
                <w:lang w:val="en-US" w:eastAsia="zh-CN"/>
              </w:rPr>
              <w:t>左一：郑强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00" w:type="pct"/>
            <w:gridSpan w:val="3"/>
          </w:tcPr>
          <w:p>
            <w:pPr>
              <w:rPr>
                <w:rFonts w:hint="default" w:ascii="Times New Roman" w:hAnsi="Times New Roman" w:cs="Times New Roman"/>
                <w:sz w:val="24"/>
                <w:szCs w:val="24"/>
              </w:rPr>
            </w:pPr>
            <w:r>
              <w:rPr>
                <w:rFonts w:hint="default" w:ascii="Times New Roman" w:hAnsi="Times New Roman" w:cs="Times New Roman"/>
                <w:sz w:val="24"/>
                <w:szCs w:val="24"/>
              </w:rPr>
              <w:t>提交时间：</w:t>
            </w:r>
          </w:p>
        </w:tc>
        <w:tc>
          <w:tcPr>
            <w:tcW w:w="2500" w:type="pct"/>
          </w:tcPr>
          <w:p>
            <w:pP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2024.1.8</w:t>
            </w:r>
          </w:p>
        </w:tc>
      </w:tr>
    </w:tbl>
    <w:p>
      <w:pPr>
        <w:jc w:val="both"/>
        <w:rPr>
          <w:rFonts w:hint="eastAsia" w:eastAsiaTheme="minorEastAsia"/>
          <w:lang w:eastAsia="zh-CN"/>
        </w:rPr>
      </w:pPr>
      <w:bookmarkStart w:id="1" w:name="_GoBack"/>
      <w:bookmarkEnd w:id="1"/>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iNTMzM2Q3NmIzMGJhNzRiNDY5YzFkNjM0MjhlNTQifQ=="/>
  </w:docVars>
  <w:rsids>
    <w:rsidRoot w:val="00DC121B"/>
    <w:rsid w:val="00431C16"/>
    <w:rsid w:val="00C773A1"/>
    <w:rsid w:val="00CA5370"/>
    <w:rsid w:val="00DC121B"/>
    <w:rsid w:val="041D633B"/>
    <w:rsid w:val="05F81008"/>
    <w:rsid w:val="0A9D24A5"/>
    <w:rsid w:val="1BED26C4"/>
    <w:rsid w:val="1D1D6358"/>
    <w:rsid w:val="1DAE7DCC"/>
    <w:rsid w:val="266D4805"/>
    <w:rsid w:val="28487016"/>
    <w:rsid w:val="2E375718"/>
    <w:rsid w:val="30310181"/>
    <w:rsid w:val="39933A44"/>
    <w:rsid w:val="3BC10ADD"/>
    <w:rsid w:val="408112E3"/>
    <w:rsid w:val="42235E22"/>
    <w:rsid w:val="47123FFB"/>
    <w:rsid w:val="56332E5B"/>
    <w:rsid w:val="5C8E4EE7"/>
    <w:rsid w:val="5F8A5D4B"/>
    <w:rsid w:val="602D7F21"/>
    <w:rsid w:val="610A2B60"/>
    <w:rsid w:val="71891097"/>
    <w:rsid w:val="755B1633"/>
    <w:rsid w:val="78CE482F"/>
    <w:rsid w:val="7A8B75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Lines="0" w:afterLines="0" w:line="600" w:lineRule="exact"/>
      <w:outlineLvl w:val="1"/>
    </w:pPr>
    <w:rPr>
      <w:rFonts w:ascii="Times New Roman" w:hAnsi="Times New Roman"/>
      <w:b/>
      <w:bCs/>
      <w:sz w:val="28"/>
      <w:szCs w:val="28"/>
    </w:rPr>
  </w:style>
  <w:style w:type="paragraph" w:styleId="2">
    <w:name w:val="heading 4"/>
    <w:basedOn w:val="1"/>
    <w:next w:val="1"/>
    <w:qFormat/>
    <w:uiPriority w:val="0"/>
    <w:pPr>
      <w:keepNext/>
      <w:keepLines/>
      <w:adjustRightInd w:val="0"/>
      <w:spacing w:before="280" w:after="290" w:line="376" w:lineRule="atLeast"/>
      <w:ind w:firstLine="567"/>
      <w:jc w:val="left"/>
      <w:outlineLvl w:val="3"/>
    </w:pPr>
    <w:rPr>
      <w:rFonts w:ascii="Arial" w:hAnsi="Arial" w:eastAsia="宋体"/>
      <w:kern w:val="0"/>
      <w:szCs w:val="20"/>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autoRedefine/>
    <w:qFormat/>
    <w:uiPriority w:val="0"/>
    <w:rPr>
      <w:rFonts w:eastAsia="黑体"/>
      <w:sz w:val="28"/>
    </w:rPr>
  </w:style>
  <w:style w:type="paragraph" w:styleId="5">
    <w:name w:val="Block Text"/>
    <w:basedOn w:val="1"/>
    <w:qFormat/>
    <w:uiPriority w:val="0"/>
    <w:pPr>
      <w:ind w:left="-71" w:leftChars="-34" w:right="-109" w:rightChars="-52"/>
    </w:pPr>
    <w:rPr>
      <w:b/>
      <w:bCs/>
      <w:sz w:val="28"/>
    </w:rPr>
  </w:style>
  <w:style w:type="paragraph" w:styleId="6">
    <w:name w:val="footer"/>
    <w:basedOn w:val="1"/>
    <w:next w:val="7"/>
    <w:autoRedefine/>
    <w:qFormat/>
    <w:uiPriority w:val="0"/>
    <w:pPr>
      <w:tabs>
        <w:tab w:val="center" w:pos="4153"/>
        <w:tab w:val="right" w:pos="8306"/>
      </w:tabs>
      <w:snapToGrid w:val="0"/>
      <w:jc w:val="left"/>
    </w:pPr>
    <w:rPr>
      <w:sz w:val="18"/>
      <w:szCs w:val="18"/>
    </w:rPr>
  </w:style>
  <w:style w:type="paragraph" w:styleId="7">
    <w:name w:val="Normal (Web)"/>
    <w:basedOn w:val="1"/>
    <w:next w:val="8"/>
    <w:autoRedefine/>
    <w:qFormat/>
    <w:uiPriority w:val="0"/>
    <w:pPr>
      <w:widowControl/>
      <w:spacing w:before="100" w:beforeLines="0" w:beforeAutospacing="1" w:after="100" w:afterLines="0" w:afterAutospacing="1"/>
      <w:jc w:val="left"/>
    </w:pPr>
    <w:rPr>
      <w:rFonts w:ascii="宋体" w:hAnsi="宋体"/>
      <w:kern w:val="0"/>
      <w:sz w:val="24"/>
    </w:rPr>
  </w:style>
  <w:style w:type="paragraph" w:customStyle="1" w:styleId="8">
    <w:name w:val="toc 84"/>
    <w:next w:val="1"/>
    <w:autoRedefine/>
    <w:qFormat/>
    <w:uiPriority w:val="99"/>
    <w:pPr>
      <w:wordWrap w:val="0"/>
      <w:ind w:left="2975"/>
      <w:jc w:val="both"/>
    </w:pPr>
    <w:rPr>
      <w:rFonts w:ascii="Times New Roman" w:hAnsi="Times New Roman" w:eastAsia="宋体" w:cs="Times New Roman"/>
      <w:sz w:val="21"/>
      <w:szCs w:val="22"/>
      <w:lang w:val="en-US" w:eastAsia="zh-CN" w:bidi="ar-SA"/>
    </w:rPr>
  </w:style>
  <w:style w:type="table" w:styleId="10">
    <w:name w:val="Table Grid"/>
    <w:basedOn w:val="9"/>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2">
    <w:name w:val="0正文"/>
    <w:autoRedefine/>
    <w:unhideWhenUsed/>
    <w:qFormat/>
    <w:uiPriority w:val="0"/>
    <w:pPr>
      <w:widowControl w:val="0"/>
      <w:spacing w:line="360" w:lineRule="auto"/>
      <w:ind w:firstLine="720" w:firstLineChars="200"/>
    </w:pPr>
    <w:rPr>
      <w:rFonts w:ascii="Calibri" w:hAnsi="Calibri" w:eastAsia="宋体" w:cstheme="minorBidi"/>
      <w:sz w:val="28"/>
      <w:szCs w:val="22"/>
      <w:lang w:val="en-US" w:eastAsia="zh-CN" w:bidi="ar-SA"/>
    </w:rPr>
  </w:style>
  <w:style w:type="paragraph" w:customStyle="1" w:styleId="13">
    <w:name w:val="样式 10 磅"/>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样式 标题 2"/>
    <w:basedOn w:val="3"/>
    <w:autoRedefine/>
    <w:qFormat/>
    <w:uiPriority w:val="0"/>
    <w:pPr>
      <w:snapToGrid w:val="0"/>
      <w:spacing w:before="120" w:beforeLines="0" w:after="120" w:afterLines="0" w:line="240" w:lineRule="auto"/>
    </w:pPr>
    <w:rPr>
      <w:rFonts w:eastAsia="宋体" w:cs="宋体"/>
      <w:bCs w:val="0"/>
    </w:rPr>
  </w:style>
  <w:style w:type="paragraph" w:customStyle="1" w:styleId="15">
    <w:name w:val="Default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
    <w:name w:val="zl正文"/>
    <w:basedOn w:val="1"/>
    <w:autoRedefine/>
    <w:qFormat/>
    <w:uiPriority w:val="0"/>
    <w:pPr>
      <w:spacing w:line="360" w:lineRule="auto"/>
      <w:ind w:firstLine="480" w:firstLineChars="200"/>
    </w:pPr>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1702</Words>
  <Characters>1775</Characters>
  <Lines>1</Lines>
  <Paragraphs>1</Paragraphs>
  <TotalTime>0</TotalTime>
  <ScaleCrop>false</ScaleCrop>
  <LinksUpToDate>false</LinksUpToDate>
  <CharactersWithSpaces>1775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2016-03-22T07:50:00Z</dcterms:created>
  <dc:creator>微软用户</dc:creator>
  <cp:lastModifiedBy>安若秦天</cp:lastModifiedBy>
  <dcterms:modified xsi:type="dcterms:W3CDTF">2024-01-08T01:58:23Z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3BA7494C09C8475788773BAE5FCC1BDF_13</vt:lpwstr>
  </property>
</Properties>
</file>