
<file path=[Content_Types].xml><?xml version="1.0" encoding="utf-8"?>
<Types xmlns="http://schemas.openxmlformats.org/package/2006/content-types">
  <Default Extension="xml" ContentType="application/xml"/>
  <Default Extension="bin" ContentType="application/vnd.openxmlformats-officedocument.oleObject"/>
  <Default Extension="jpeg" ContentType="image/jpeg"/>
  <Default Extension="JPG" ContentType="image/.jpg"/>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00" w:lineRule="exact"/>
        <w:jc w:val="right"/>
        <w:rPr>
          <w:rFonts w:ascii="宋体" w:hAnsi="宋体"/>
          <w:b/>
          <w:color w:val="auto"/>
          <w:sz w:val="28"/>
          <w:szCs w:val="28"/>
        </w:rPr>
      </w:pPr>
      <w:bookmarkStart w:id="0" w:name="_Toc85267433"/>
      <w:bookmarkStart w:id="1" w:name="_Toc86571205"/>
      <w:bookmarkStart w:id="2" w:name="_Toc97627326"/>
      <w:bookmarkStart w:id="3" w:name="_Toc85597582"/>
      <w:bookmarkStart w:id="4" w:name="_Toc84995638"/>
      <w:bookmarkStart w:id="5" w:name="_Toc85251584"/>
      <w:bookmarkStart w:id="6" w:name="_Toc86571527"/>
      <w:bookmarkStart w:id="7" w:name="_Toc86222949"/>
      <w:bookmarkStart w:id="8" w:name="_Toc85251493"/>
    </w:p>
    <w:p>
      <w:pPr>
        <w:widowControl/>
        <w:spacing w:line="500" w:lineRule="exact"/>
        <w:jc w:val="center"/>
        <w:rPr>
          <w:rFonts w:ascii="宋体" w:hAnsi="宋体"/>
          <w:b/>
          <w:color w:val="auto"/>
          <w:sz w:val="28"/>
          <w:szCs w:val="28"/>
        </w:rPr>
      </w:pPr>
    </w:p>
    <w:p>
      <w:pPr>
        <w:widowControl/>
        <w:spacing w:line="500" w:lineRule="exact"/>
        <w:jc w:val="center"/>
        <w:rPr>
          <w:rFonts w:ascii="宋体" w:hAnsi="宋体"/>
          <w:b/>
          <w:color w:val="auto"/>
          <w:sz w:val="28"/>
          <w:szCs w:val="28"/>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宋体" w:hAnsi="宋体"/>
          <w:b/>
          <w:bCs/>
          <w:color w:val="auto"/>
          <w:sz w:val="44"/>
          <w:szCs w:val="44"/>
        </w:rPr>
      </w:pPr>
      <w:r>
        <w:rPr>
          <w:rFonts w:hint="eastAsia" w:ascii="宋体" w:hAnsi="宋体"/>
          <w:b/>
          <w:bCs/>
          <w:color w:val="auto"/>
          <w:sz w:val="44"/>
          <w:szCs w:val="44"/>
        </w:rPr>
        <w:t>兴宁市守元矿业有限公司</w:t>
      </w:r>
      <w:bookmarkStart w:id="9" w:name="_Hlk144115118"/>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宋体" w:hAnsi="宋体"/>
          <w:b/>
          <w:bCs/>
          <w:color w:val="auto"/>
          <w:sz w:val="44"/>
          <w:szCs w:val="44"/>
        </w:rPr>
      </w:pPr>
      <w:r>
        <w:rPr>
          <w:rFonts w:hint="eastAsia" w:ascii="宋体" w:hAnsi="宋体"/>
          <w:b/>
          <w:bCs/>
          <w:color w:val="auto"/>
          <w:sz w:val="44"/>
          <w:szCs w:val="44"/>
        </w:rPr>
        <w:t>军营高岭土矿分公司</w:t>
      </w:r>
      <w:bookmarkEnd w:id="9"/>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宋体" w:hAnsi="宋体"/>
          <w:b/>
          <w:color w:val="auto"/>
          <w:w w:val="90"/>
          <w:sz w:val="44"/>
          <w:szCs w:val="44"/>
        </w:rPr>
      </w:pPr>
      <w:r>
        <w:rPr>
          <w:rFonts w:hint="eastAsia" w:ascii="宋体" w:hAnsi="宋体"/>
          <w:b/>
          <w:color w:val="auto"/>
          <w:w w:val="90"/>
          <w:sz w:val="44"/>
          <w:szCs w:val="44"/>
        </w:rPr>
        <w:t>扩建年产5万吨高岭土露天开采项目</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黑体" w:hAnsi="宋体" w:eastAsia="黑体"/>
          <w:b/>
          <w:color w:val="auto"/>
          <w:kern w:val="10"/>
          <w:sz w:val="52"/>
          <w:szCs w:val="84"/>
        </w:rPr>
      </w:pPr>
      <w:r>
        <w:rPr>
          <w:rFonts w:hint="eastAsia" w:ascii="黑体" w:hAnsi="宋体" w:eastAsia="黑体"/>
          <w:b/>
          <w:color w:val="auto"/>
          <w:kern w:val="10"/>
          <w:sz w:val="52"/>
          <w:szCs w:val="84"/>
        </w:rPr>
        <w:t>安</w:t>
      </w:r>
      <w:r>
        <w:rPr>
          <w:rFonts w:ascii="黑体" w:hAnsi="宋体" w:eastAsia="黑体"/>
          <w:b/>
          <w:color w:val="auto"/>
          <w:kern w:val="10"/>
          <w:sz w:val="52"/>
          <w:szCs w:val="84"/>
        </w:rPr>
        <w:t>全预评价报</w:t>
      </w:r>
      <w:r>
        <w:rPr>
          <w:rFonts w:hint="eastAsia" w:ascii="黑体" w:hAnsi="宋体" w:eastAsia="黑体"/>
          <w:b/>
          <w:color w:val="auto"/>
          <w:kern w:val="10"/>
          <w:sz w:val="52"/>
          <w:szCs w:val="84"/>
        </w:rPr>
        <w:t>告</w:t>
      </w:r>
    </w:p>
    <w:p>
      <w:pPr>
        <w:widowControl/>
        <w:jc w:val="center"/>
        <w:rPr>
          <w:b/>
          <w:color w:val="auto"/>
          <w:sz w:val="32"/>
          <w:szCs w:val="32"/>
        </w:rPr>
      </w:pPr>
    </w:p>
    <w:p>
      <w:pPr>
        <w:widowControl/>
        <w:spacing w:line="900" w:lineRule="exact"/>
        <w:jc w:val="center"/>
        <w:rPr>
          <w:rFonts w:ascii="宋体" w:hAnsi="宋体"/>
          <w:color w:val="auto"/>
          <w:sz w:val="28"/>
        </w:rPr>
      </w:pPr>
    </w:p>
    <w:p>
      <w:pPr>
        <w:widowControl/>
        <w:jc w:val="center"/>
        <w:rPr>
          <w:rFonts w:ascii="宋体" w:hAnsi="宋体"/>
          <w:color w:val="auto"/>
          <w:sz w:val="28"/>
        </w:rPr>
      </w:pPr>
    </w:p>
    <w:p>
      <w:pPr>
        <w:widowControl/>
        <w:jc w:val="center"/>
        <w:rPr>
          <w:rFonts w:ascii="宋体" w:hAnsi="宋体"/>
          <w:color w:val="auto"/>
          <w:sz w:val="28"/>
        </w:rPr>
      </w:pPr>
    </w:p>
    <w:p>
      <w:pPr>
        <w:widowControl/>
        <w:jc w:val="center"/>
        <w:rPr>
          <w:rFonts w:ascii="宋体" w:hAnsi="宋体"/>
          <w:color w:val="auto"/>
          <w:sz w:val="28"/>
        </w:rPr>
      </w:pPr>
    </w:p>
    <w:p>
      <w:pPr>
        <w:pStyle w:val="24"/>
        <w:widowControl/>
        <w:ind w:left="0" w:leftChars="0"/>
        <w:jc w:val="center"/>
        <w:rPr>
          <w:rFonts w:ascii="宋体" w:hAnsi="宋体"/>
          <w:color w:val="auto"/>
        </w:rPr>
      </w:pPr>
    </w:p>
    <w:p>
      <w:pPr>
        <w:widowControl/>
        <w:jc w:val="center"/>
        <w:rPr>
          <w:color w:val="auto"/>
        </w:rPr>
      </w:pPr>
    </w:p>
    <w:p>
      <w:pPr>
        <w:widowControl/>
        <w:jc w:val="center"/>
        <w:rPr>
          <w:color w:val="auto"/>
        </w:rPr>
      </w:pPr>
    </w:p>
    <w:p>
      <w:pPr>
        <w:widowControl/>
        <w:jc w:val="center"/>
        <w:rPr>
          <w:color w:val="auto"/>
        </w:rPr>
      </w:pPr>
    </w:p>
    <w:p>
      <w:pPr>
        <w:widowControl/>
        <w:jc w:val="center"/>
        <w:rPr>
          <w:color w:val="auto"/>
        </w:rPr>
      </w:pPr>
    </w:p>
    <w:p>
      <w:pPr>
        <w:widowControl/>
        <w:jc w:val="center"/>
        <w:rPr>
          <w:color w:val="auto"/>
        </w:rPr>
      </w:pPr>
    </w:p>
    <w:p>
      <w:pPr>
        <w:widowControl/>
        <w:jc w:val="center"/>
        <w:rPr>
          <w:color w:val="auto"/>
        </w:rPr>
      </w:pPr>
    </w:p>
    <w:p>
      <w:pPr>
        <w:widowControl/>
        <w:jc w:val="center"/>
        <w:rPr>
          <w:color w:val="auto"/>
        </w:rPr>
      </w:pPr>
    </w:p>
    <w:p>
      <w:pPr>
        <w:widowControl/>
        <w:jc w:val="center"/>
        <w:rPr>
          <w:color w:val="auto"/>
        </w:rPr>
      </w:pPr>
    </w:p>
    <w:p>
      <w:pPr>
        <w:widowControl/>
        <w:jc w:val="center"/>
        <w:rPr>
          <w:color w:val="auto"/>
        </w:rPr>
      </w:pPr>
    </w:p>
    <w:p>
      <w:pPr>
        <w:widowControl/>
        <w:jc w:val="center"/>
        <w:rPr>
          <w:color w:val="auto"/>
        </w:rPr>
      </w:pPr>
    </w:p>
    <w:p>
      <w:pPr>
        <w:widowControl/>
        <w:jc w:val="center"/>
        <w:rPr>
          <w:color w:val="auto"/>
        </w:rPr>
      </w:pPr>
    </w:p>
    <w:p>
      <w:pPr>
        <w:widowControl/>
        <w:jc w:val="center"/>
        <w:rPr>
          <w:color w:val="auto"/>
        </w:rPr>
      </w:pPr>
    </w:p>
    <w:p>
      <w:pPr>
        <w:widowControl/>
        <w:spacing w:line="700" w:lineRule="exact"/>
        <w:jc w:val="center"/>
        <w:rPr>
          <w:b/>
          <w:bCs/>
          <w:color w:val="auto"/>
          <w:sz w:val="44"/>
          <w:szCs w:val="44"/>
        </w:rPr>
      </w:pPr>
    </w:p>
    <w:p>
      <w:pPr>
        <w:widowControl/>
        <w:spacing w:line="700" w:lineRule="exact"/>
        <w:jc w:val="center"/>
        <w:rPr>
          <w:b/>
          <w:bCs/>
          <w:color w:val="auto"/>
          <w:sz w:val="44"/>
          <w:szCs w:val="44"/>
        </w:rPr>
      </w:pPr>
    </w:p>
    <w:p>
      <w:pPr>
        <w:widowControl/>
        <w:spacing w:line="700" w:lineRule="exact"/>
        <w:jc w:val="center"/>
        <w:rPr>
          <w:b/>
          <w:bCs/>
          <w:color w:val="auto"/>
          <w:sz w:val="44"/>
          <w:szCs w:val="44"/>
        </w:rPr>
      </w:pPr>
      <w:bookmarkStart w:id="10" w:name="_Hlk144115146"/>
      <w:r>
        <w:rPr>
          <w:rFonts w:hint="eastAsia"/>
          <w:b/>
          <w:bCs/>
          <w:color w:val="auto"/>
          <w:sz w:val="44"/>
          <w:szCs w:val="44"/>
        </w:rPr>
        <w:t>江西赣安安全生产科学技术咨询服务中心</w:t>
      </w:r>
    </w:p>
    <w:bookmarkEnd w:id="10"/>
    <w:p>
      <w:pPr>
        <w:widowControl/>
        <w:spacing w:line="700" w:lineRule="exact"/>
        <w:jc w:val="center"/>
        <w:rPr>
          <w:rFonts w:ascii="宋体" w:hAnsi="宋体"/>
          <w:b/>
          <w:bCs/>
          <w:color w:val="auto"/>
          <w:sz w:val="32"/>
          <w:szCs w:val="32"/>
        </w:rPr>
      </w:pPr>
      <w:r>
        <w:rPr>
          <w:rFonts w:hint="eastAsia" w:ascii="宋体" w:hAnsi="宋体"/>
          <w:b/>
          <w:bCs/>
          <w:color w:val="auto"/>
          <w:sz w:val="32"/>
          <w:szCs w:val="32"/>
        </w:rPr>
        <w:t>APJ-（赣）-002</w:t>
      </w:r>
    </w:p>
    <w:p>
      <w:pPr>
        <w:widowControl/>
        <w:spacing w:line="700" w:lineRule="exact"/>
        <w:jc w:val="center"/>
        <w:rPr>
          <w:color w:val="auto"/>
        </w:rPr>
      </w:pPr>
      <w:r>
        <w:rPr>
          <w:rFonts w:hint="eastAsia" w:ascii="宋体" w:hAnsi="宋体"/>
          <w:b/>
          <w:bCs/>
          <w:color w:val="auto"/>
          <w:sz w:val="32"/>
          <w:szCs w:val="32"/>
        </w:rPr>
        <w:t>2023年11月25日</w:t>
      </w:r>
    </w:p>
    <w:p>
      <w:pPr>
        <w:widowControl/>
        <w:rPr>
          <w:color w:val="auto"/>
        </w:rPr>
        <w:sectPr>
          <w:footerReference r:id="rId7" w:type="first"/>
          <w:headerReference r:id="rId3" w:type="default"/>
          <w:footerReference r:id="rId5" w:type="default"/>
          <w:headerReference r:id="rId4" w:type="even"/>
          <w:footerReference r:id="rId6" w:type="even"/>
          <w:pgSz w:w="11906" w:h="16838"/>
          <w:pgMar w:top="1134" w:right="1134" w:bottom="1418" w:left="1588" w:header="851" w:footer="992" w:gutter="0"/>
          <w:pgBorders>
            <w:top w:val="none" w:sz="0" w:space="0"/>
            <w:left w:val="none" w:sz="0" w:space="0"/>
            <w:bottom w:val="none" w:sz="0" w:space="0"/>
            <w:right w:val="none" w:sz="0" w:space="0"/>
          </w:pgBorders>
          <w:pgNumType w:fmt="upperRoman" w:start="1"/>
          <w:cols w:space="720" w:num="1"/>
          <w:titlePg/>
          <w:docGrid w:linePitch="312" w:charSpace="0"/>
        </w:sect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宋体" w:hAnsi="宋体"/>
          <w:b/>
          <w:color w:val="auto"/>
          <w:sz w:val="32"/>
          <w:szCs w:val="32"/>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宋体" w:hAnsi="宋体"/>
          <w:b/>
          <w:color w:val="auto"/>
          <w:sz w:val="32"/>
          <w:szCs w:val="32"/>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宋体" w:hAnsi="宋体"/>
          <w:b/>
          <w:color w:val="auto"/>
          <w:sz w:val="32"/>
          <w:szCs w:val="32"/>
        </w:rPr>
      </w:pPr>
      <w:r>
        <w:rPr>
          <w:rFonts w:hint="eastAsia" w:ascii="宋体" w:hAnsi="宋体"/>
          <w:b/>
          <w:color w:val="auto"/>
          <w:sz w:val="32"/>
          <w:szCs w:val="32"/>
        </w:rPr>
        <w:t>兴宁市守元矿业有限公司</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宋体" w:hAnsi="宋体"/>
          <w:b/>
          <w:color w:val="auto"/>
          <w:sz w:val="32"/>
          <w:szCs w:val="32"/>
        </w:rPr>
      </w:pPr>
      <w:r>
        <w:rPr>
          <w:rFonts w:hint="eastAsia" w:ascii="宋体" w:hAnsi="宋体"/>
          <w:b/>
          <w:color w:val="auto"/>
          <w:sz w:val="32"/>
          <w:szCs w:val="32"/>
        </w:rPr>
        <w:t>军营高岭土矿分公司</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宋体" w:hAnsi="宋体"/>
          <w:b/>
          <w:color w:val="auto"/>
          <w:sz w:val="32"/>
          <w:szCs w:val="32"/>
        </w:rPr>
      </w:pPr>
      <w:r>
        <w:rPr>
          <w:rFonts w:hint="eastAsia" w:ascii="宋体" w:hAnsi="宋体"/>
          <w:b/>
          <w:color w:val="auto"/>
          <w:sz w:val="32"/>
          <w:szCs w:val="32"/>
        </w:rPr>
        <w:t>扩建年产5万吨高岭土露天开采项目</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ascii="宋体" w:hAnsi="宋体"/>
          <w:b/>
          <w:color w:val="auto"/>
          <w:kern w:val="10"/>
          <w:sz w:val="44"/>
          <w:szCs w:val="72"/>
        </w:rPr>
      </w:pPr>
      <w:r>
        <w:rPr>
          <w:rFonts w:hint="eastAsia" w:ascii="宋体" w:hAnsi="宋体"/>
          <w:b/>
          <w:color w:val="auto"/>
          <w:kern w:val="10"/>
          <w:sz w:val="44"/>
          <w:szCs w:val="72"/>
        </w:rPr>
        <w:t>安全预评价报告</w:t>
      </w:r>
    </w:p>
    <w:p>
      <w:pPr>
        <w:widowControl/>
        <w:spacing w:line="720" w:lineRule="auto"/>
        <w:jc w:val="center"/>
        <w:rPr>
          <w:rFonts w:ascii="宋体" w:hAnsi="宋体"/>
          <w:b/>
          <w:bCs/>
          <w:color w:val="auto"/>
          <w:sz w:val="30"/>
          <w:szCs w:val="30"/>
        </w:rPr>
      </w:pPr>
    </w:p>
    <w:p>
      <w:pPr>
        <w:widowControl/>
        <w:spacing w:line="720" w:lineRule="auto"/>
        <w:jc w:val="center"/>
        <w:rPr>
          <w:rFonts w:ascii="宋体" w:hAnsi="宋体"/>
          <w:b/>
          <w:bCs/>
          <w:color w:val="auto"/>
          <w:sz w:val="44"/>
          <w:szCs w:val="44"/>
        </w:rPr>
      </w:pPr>
    </w:p>
    <w:p>
      <w:pPr>
        <w:widowControl/>
        <w:spacing w:line="240" w:lineRule="exact"/>
        <w:jc w:val="center"/>
        <w:rPr>
          <w:rFonts w:ascii="宋体" w:hAnsi="宋体"/>
          <w:b/>
          <w:bCs/>
          <w:color w:val="auto"/>
          <w:sz w:val="84"/>
        </w:rPr>
      </w:pPr>
    </w:p>
    <w:p>
      <w:pPr>
        <w:widowControl/>
        <w:spacing w:line="580" w:lineRule="exact"/>
        <w:jc w:val="center"/>
        <w:rPr>
          <w:rFonts w:hint="default" w:eastAsia="宋体"/>
          <w:color w:val="auto"/>
          <w:sz w:val="28"/>
          <w:szCs w:val="28"/>
          <w:lang w:val="en-US" w:eastAsia="zh-CN"/>
        </w:rPr>
      </w:pPr>
      <w:r>
        <w:rPr>
          <w:rFonts w:hint="eastAsia"/>
          <w:color w:val="auto"/>
          <w:sz w:val="28"/>
          <w:szCs w:val="28"/>
        </w:rPr>
        <w:t>法定代表人：</w:t>
      </w:r>
      <w:r>
        <w:rPr>
          <w:rFonts w:hint="eastAsia"/>
          <w:color w:val="auto"/>
          <w:sz w:val="28"/>
          <w:szCs w:val="28"/>
          <w:lang w:val="en-US" w:eastAsia="zh-CN"/>
        </w:rPr>
        <w:t>应  宏</w:t>
      </w:r>
    </w:p>
    <w:p>
      <w:pPr>
        <w:widowControl/>
        <w:spacing w:line="580" w:lineRule="exact"/>
        <w:jc w:val="center"/>
        <w:rPr>
          <w:rFonts w:hint="default" w:eastAsia="宋体"/>
          <w:color w:val="auto"/>
          <w:sz w:val="28"/>
          <w:szCs w:val="28"/>
          <w:lang w:val="en-US" w:eastAsia="zh-CN"/>
        </w:rPr>
      </w:pPr>
      <w:r>
        <w:rPr>
          <w:rFonts w:hint="eastAsia"/>
          <w:color w:val="auto"/>
          <w:sz w:val="28"/>
          <w:szCs w:val="28"/>
        </w:rPr>
        <w:t>技术负责人：</w:t>
      </w:r>
      <w:r>
        <w:rPr>
          <w:rFonts w:hint="eastAsia"/>
          <w:color w:val="auto"/>
          <w:sz w:val="28"/>
          <w:szCs w:val="28"/>
          <w:lang w:val="en-US" w:eastAsia="zh-CN"/>
        </w:rPr>
        <w:t>管自强</w:t>
      </w:r>
    </w:p>
    <w:p>
      <w:pPr>
        <w:widowControl/>
        <w:spacing w:line="580" w:lineRule="exact"/>
        <w:jc w:val="center"/>
        <w:rPr>
          <w:rFonts w:hint="default" w:eastAsia="宋体"/>
          <w:color w:val="auto"/>
          <w:sz w:val="28"/>
          <w:szCs w:val="28"/>
          <w:lang w:val="en-US" w:eastAsia="zh-CN"/>
        </w:rPr>
      </w:pPr>
      <w:r>
        <w:rPr>
          <w:rFonts w:hint="eastAsia"/>
          <w:color w:val="auto"/>
          <w:sz w:val="28"/>
          <w:szCs w:val="28"/>
        </w:rPr>
        <w:t>项目负责人：</w:t>
      </w:r>
      <w:r>
        <w:rPr>
          <w:rFonts w:hint="eastAsia"/>
          <w:color w:val="auto"/>
          <w:sz w:val="28"/>
          <w:szCs w:val="28"/>
          <w:lang w:val="en-US" w:eastAsia="zh-CN"/>
        </w:rPr>
        <w:t>管自强</w:t>
      </w:r>
    </w:p>
    <w:p>
      <w:pPr>
        <w:widowControl/>
        <w:spacing w:line="240" w:lineRule="exact"/>
        <w:jc w:val="center"/>
        <w:rPr>
          <w:rFonts w:ascii="宋体" w:hAnsi="宋体"/>
          <w:b/>
          <w:bCs/>
          <w:color w:val="auto"/>
          <w:sz w:val="24"/>
        </w:rPr>
      </w:pPr>
    </w:p>
    <w:p>
      <w:pPr>
        <w:widowControl/>
        <w:spacing w:line="240" w:lineRule="exact"/>
        <w:jc w:val="center"/>
        <w:rPr>
          <w:rFonts w:ascii="宋体" w:hAnsi="宋体"/>
          <w:b/>
          <w:bCs/>
          <w:color w:val="auto"/>
          <w:sz w:val="24"/>
        </w:rPr>
      </w:pPr>
    </w:p>
    <w:p>
      <w:pPr>
        <w:widowControl/>
        <w:spacing w:line="400" w:lineRule="exact"/>
        <w:jc w:val="center"/>
        <w:rPr>
          <w:rFonts w:ascii="宋体" w:hAnsi="宋体"/>
          <w:b/>
          <w:bCs/>
          <w:color w:val="auto"/>
          <w:sz w:val="24"/>
        </w:rPr>
      </w:pPr>
      <w:r>
        <w:rPr>
          <w:rFonts w:hint="eastAsia" w:ascii="宋体" w:hAnsi="宋体"/>
          <w:b/>
          <w:bCs/>
          <w:color w:val="auto"/>
          <w:sz w:val="24"/>
          <w:lang w:val="en-US" w:eastAsia="zh-CN"/>
        </w:rPr>
        <w:t>报告完成日期;</w:t>
      </w:r>
      <w:r>
        <w:rPr>
          <w:rFonts w:hint="eastAsia" w:ascii="宋体" w:hAnsi="宋体"/>
          <w:b/>
          <w:bCs/>
          <w:color w:val="auto"/>
          <w:sz w:val="24"/>
        </w:rPr>
        <w:t>2023年11月25日</w:t>
      </w:r>
    </w:p>
    <w:p>
      <w:pPr>
        <w:widowControl/>
        <w:spacing w:before="100" w:after="100" w:line="240" w:lineRule="exact"/>
        <w:rPr>
          <w:rFonts w:ascii="仿宋_GB2312" w:hAnsi="宋体" w:eastAsia="仿宋_GB2312"/>
          <w:b/>
          <w:color w:val="auto"/>
          <w:sz w:val="48"/>
        </w:rPr>
        <w:sectPr>
          <w:pgSz w:w="11906" w:h="16838"/>
          <w:pgMar w:top="1417" w:right="1417" w:bottom="1418" w:left="1417" w:header="851" w:footer="992" w:gutter="0"/>
          <w:pgBorders>
            <w:top w:val="none" w:sz="0" w:space="0"/>
            <w:left w:val="none" w:sz="0" w:space="0"/>
            <w:bottom w:val="none" w:sz="0" w:space="0"/>
            <w:right w:val="none" w:sz="0" w:space="0"/>
          </w:pgBorders>
          <w:pgNumType w:fmt="upperRoman" w:start="1"/>
          <w:cols w:space="720" w:num="1"/>
          <w:docGrid w:linePitch="312" w:charSpace="0"/>
        </w:sect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宋体" w:hAnsi="宋体"/>
          <w:b/>
          <w:color w:val="auto"/>
          <w:sz w:val="32"/>
          <w:szCs w:val="32"/>
        </w:rPr>
      </w:pP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宋体" w:hAnsi="宋体"/>
          <w:b/>
          <w:color w:val="auto"/>
          <w:sz w:val="32"/>
          <w:szCs w:val="32"/>
        </w:rPr>
      </w:pPr>
      <w:r>
        <w:rPr>
          <w:rFonts w:hint="eastAsia" w:ascii="宋体" w:hAnsi="宋体"/>
          <w:b/>
          <w:color w:val="auto"/>
          <w:sz w:val="32"/>
          <w:szCs w:val="32"/>
        </w:rPr>
        <w:t>兴宁市守元矿业有限公司</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宋体" w:hAnsi="宋体"/>
          <w:b/>
          <w:color w:val="auto"/>
          <w:sz w:val="32"/>
          <w:szCs w:val="32"/>
        </w:rPr>
      </w:pPr>
      <w:r>
        <w:rPr>
          <w:rFonts w:hint="eastAsia" w:ascii="宋体" w:hAnsi="宋体"/>
          <w:b/>
          <w:color w:val="auto"/>
          <w:sz w:val="32"/>
          <w:szCs w:val="32"/>
        </w:rPr>
        <w:t>军营高岭土矿分公司</w:t>
      </w:r>
    </w:p>
    <w:p>
      <w:pPr>
        <w:keepNext w:val="0"/>
        <w:keepLines w:val="0"/>
        <w:pageBreakBefore w:val="0"/>
        <w:widowControl/>
        <w:kinsoku/>
        <w:wordWrap/>
        <w:overflowPunct/>
        <w:topLinePunct w:val="0"/>
        <w:autoSpaceDE/>
        <w:autoSpaceDN/>
        <w:bidi w:val="0"/>
        <w:adjustRightInd/>
        <w:snapToGrid/>
        <w:spacing w:line="600" w:lineRule="exact"/>
        <w:jc w:val="center"/>
        <w:textAlignment w:val="auto"/>
        <w:rPr>
          <w:rFonts w:hint="eastAsia" w:ascii="宋体" w:hAnsi="宋体"/>
          <w:b/>
          <w:color w:val="auto"/>
          <w:sz w:val="32"/>
          <w:szCs w:val="32"/>
        </w:rPr>
      </w:pPr>
      <w:r>
        <w:rPr>
          <w:rFonts w:hint="eastAsia" w:ascii="宋体" w:hAnsi="宋体"/>
          <w:b/>
          <w:color w:val="auto"/>
          <w:sz w:val="32"/>
          <w:szCs w:val="32"/>
        </w:rPr>
        <w:t>扩建年产5万吨高岭土露天开采项目</w:t>
      </w:r>
    </w:p>
    <w:p>
      <w:pPr>
        <w:widowControl/>
        <w:spacing w:line="600" w:lineRule="exact"/>
        <w:jc w:val="center"/>
        <w:rPr>
          <w:rFonts w:ascii="宋体" w:hAnsi="宋体"/>
          <w:b/>
          <w:bCs/>
          <w:color w:val="auto"/>
          <w:kern w:val="0"/>
          <w:sz w:val="36"/>
          <w:szCs w:val="36"/>
        </w:rPr>
      </w:pPr>
      <w:r>
        <w:rPr>
          <w:rFonts w:hint="eastAsia" w:ascii="宋体" w:hAnsi="宋体"/>
          <w:b/>
          <w:color w:val="auto"/>
          <w:kern w:val="10"/>
          <w:sz w:val="44"/>
          <w:szCs w:val="72"/>
        </w:rPr>
        <w:t>安全预评价报告</w:t>
      </w:r>
    </w:p>
    <w:p>
      <w:pPr>
        <w:widowControl/>
        <w:spacing w:line="600" w:lineRule="exact"/>
        <w:jc w:val="center"/>
        <w:rPr>
          <w:b/>
          <w:bCs/>
          <w:color w:val="auto"/>
          <w:kern w:val="0"/>
          <w:sz w:val="36"/>
          <w:szCs w:val="36"/>
        </w:rPr>
      </w:pPr>
      <w:r>
        <w:rPr>
          <w:rFonts w:ascii="宋体" w:hAnsi="宋体"/>
          <w:b/>
          <w:bCs/>
          <w:color w:val="auto"/>
          <w:kern w:val="0"/>
          <w:sz w:val="36"/>
          <w:szCs w:val="36"/>
        </w:rPr>
        <w:t>安全评价技术服务承诺书</w:t>
      </w:r>
    </w:p>
    <w:p>
      <w:pPr>
        <w:widowControl/>
        <w:spacing w:line="600" w:lineRule="exact"/>
        <w:jc w:val="left"/>
        <w:rPr>
          <w:color w:val="auto"/>
          <w:kern w:val="0"/>
          <w:sz w:val="32"/>
          <w:szCs w:val="32"/>
        </w:rPr>
      </w:pPr>
    </w:p>
    <w:p>
      <w:pPr>
        <w:widowControl/>
        <w:spacing w:line="600" w:lineRule="exact"/>
        <w:ind w:firstLine="640" w:firstLineChars="200"/>
        <w:jc w:val="left"/>
        <w:rPr>
          <w:color w:val="auto"/>
          <w:kern w:val="0"/>
          <w:sz w:val="32"/>
          <w:szCs w:val="32"/>
        </w:rPr>
      </w:pPr>
      <w:r>
        <w:rPr>
          <w:rFonts w:ascii="宋体" w:hAnsi="宋体"/>
          <w:color w:val="auto"/>
          <w:kern w:val="0"/>
          <w:sz w:val="32"/>
          <w:szCs w:val="32"/>
        </w:rPr>
        <w:t>一、在该公司安全评价活动过程中，我单位严格遵守《安全生产法》及相关法律、法规和标准的要求。</w:t>
      </w:r>
      <w:r>
        <w:rPr>
          <w:color w:val="auto"/>
          <w:kern w:val="0"/>
          <w:sz w:val="32"/>
          <w:szCs w:val="32"/>
        </w:rPr>
        <w:t xml:space="preserve">  </w:t>
      </w:r>
    </w:p>
    <w:p>
      <w:pPr>
        <w:widowControl/>
        <w:spacing w:line="600" w:lineRule="exact"/>
        <w:ind w:firstLine="640" w:firstLineChars="200"/>
        <w:jc w:val="left"/>
        <w:rPr>
          <w:color w:val="auto"/>
          <w:kern w:val="0"/>
          <w:sz w:val="32"/>
          <w:szCs w:val="32"/>
        </w:rPr>
      </w:pPr>
      <w:r>
        <w:rPr>
          <w:rFonts w:ascii="宋体" w:hAnsi="宋体"/>
          <w:color w:val="auto"/>
          <w:kern w:val="0"/>
          <w:sz w:val="32"/>
          <w:szCs w:val="32"/>
        </w:rPr>
        <w:t>二、在该公司安全评价活动过程中，我单位作为第三方，未受到任何组织和个人的干预和影响，依法独立开展工作，保证了技术服务活动的客观公正性。</w:t>
      </w:r>
    </w:p>
    <w:p>
      <w:pPr>
        <w:widowControl/>
        <w:spacing w:line="600" w:lineRule="exact"/>
        <w:ind w:firstLine="640" w:firstLineChars="200"/>
        <w:jc w:val="left"/>
        <w:rPr>
          <w:color w:val="auto"/>
          <w:kern w:val="0"/>
          <w:sz w:val="32"/>
          <w:szCs w:val="32"/>
        </w:rPr>
      </w:pPr>
      <w:r>
        <w:rPr>
          <w:rFonts w:ascii="宋体" w:hAnsi="宋体"/>
          <w:color w:val="auto"/>
          <w:kern w:val="0"/>
          <w:sz w:val="32"/>
          <w:szCs w:val="32"/>
        </w:rPr>
        <w:t>三、我单位按照实事求是的原则，对该公司进行安全评价，确保出具的报告均真实有效，报告所提出的措施具有针对性、有效性和可行性。</w:t>
      </w:r>
    </w:p>
    <w:p>
      <w:pPr>
        <w:widowControl/>
        <w:spacing w:line="600" w:lineRule="exact"/>
        <w:ind w:firstLine="640" w:firstLineChars="200"/>
        <w:jc w:val="left"/>
        <w:rPr>
          <w:color w:val="auto"/>
          <w:kern w:val="0"/>
          <w:sz w:val="32"/>
          <w:szCs w:val="32"/>
        </w:rPr>
      </w:pPr>
      <w:r>
        <w:rPr>
          <w:rFonts w:ascii="宋体" w:hAnsi="宋体"/>
          <w:color w:val="auto"/>
          <w:kern w:val="0"/>
          <w:sz w:val="32"/>
          <w:szCs w:val="32"/>
        </w:rPr>
        <w:t>四、我单位对该公司安全评价报告中结论性内容承担法律责任。</w:t>
      </w:r>
      <w:r>
        <w:rPr>
          <w:color w:val="auto"/>
          <w:kern w:val="0"/>
          <w:sz w:val="32"/>
          <w:szCs w:val="32"/>
        </w:rPr>
        <w:t xml:space="preserve"> </w:t>
      </w:r>
    </w:p>
    <w:p>
      <w:pPr>
        <w:widowControl/>
        <w:spacing w:line="600" w:lineRule="exact"/>
        <w:ind w:firstLine="480"/>
        <w:jc w:val="left"/>
        <w:rPr>
          <w:color w:val="auto"/>
          <w:kern w:val="0"/>
          <w:sz w:val="32"/>
          <w:szCs w:val="32"/>
        </w:rPr>
      </w:pPr>
      <w:r>
        <w:rPr>
          <w:color w:val="auto"/>
          <w:kern w:val="0"/>
          <w:sz w:val="32"/>
          <w:szCs w:val="32"/>
        </w:rPr>
        <w:t xml:space="preserve">                      </w:t>
      </w:r>
    </w:p>
    <w:p>
      <w:pPr>
        <w:widowControl/>
        <w:autoSpaceDE w:val="0"/>
        <w:spacing w:line="800" w:lineRule="exact"/>
        <w:ind w:left="5759" w:leftChars="228" w:hanging="5280" w:hangingChars="1650"/>
        <w:jc w:val="left"/>
        <w:rPr>
          <w:color w:val="auto"/>
          <w:kern w:val="0"/>
          <w:sz w:val="32"/>
          <w:szCs w:val="32"/>
        </w:rPr>
      </w:pPr>
      <w:r>
        <w:rPr>
          <w:color w:val="auto"/>
          <w:kern w:val="0"/>
          <w:sz w:val="32"/>
          <w:szCs w:val="32"/>
        </w:rPr>
        <w:t xml:space="preserve">                 </w:t>
      </w:r>
      <w:r>
        <w:rPr>
          <w:rFonts w:ascii="宋体" w:hAnsi="宋体"/>
          <w:color w:val="auto"/>
          <w:sz w:val="32"/>
          <w:szCs w:val="32"/>
        </w:rPr>
        <w:t>江西赣安安全生产科学技术咨询服务中心</w:t>
      </w:r>
    </w:p>
    <w:p>
      <w:pPr>
        <w:spacing w:line="440" w:lineRule="exact"/>
        <w:jc w:val="center"/>
        <w:rPr>
          <w:rFonts w:ascii="宋体" w:hAnsi="宋体"/>
          <w:color w:val="auto"/>
          <w:kern w:val="0"/>
          <w:sz w:val="32"/>
          <w:szCs w:val="32"/>
        </w:rPr>
      </w:pPr>
      <w:r>
        <w:rPr>
          <w:color w:val="auto"/>
          <w:kern w:val="0"/>
          <w:sz w:val="32"/>
          <w:szCs w:val="32"/>
        </w:rPr>
        <w:t xml:space="preserve">                          2023</w:t>
      </w:r>
      <w:r>
        <w:rPr>
          <w:rFonts w:ascii="宋体" w:hAnsi="宋体"/>
          <w:color w:val="auto"/>
          <w:kern w:val="0"/>
          <w:sz w:val="32"/>
          <w:szCs w:val="32"/>
        </w:rPr>
        <w:t>年</w:t>
      </w:r>
      <w:r>
        <w:rPr>
          <w:rFonts w:hint="eastAsia"/>
          <w:color w:val="auto"/>
          <w:kern w:val="0"/>
          <w:sz w:val="32"/>
          <w:szCs w:val="32"/>
          <w:lang w:val="en-US" w:eastAsia="zh-CN"/>
        </w:rPr>
        <w:t>11</w:t>
      </w:r>
      <w:r>
        <w:rPr>
          <w:rFonts w:ascii="宋体" w:hAnsi="宋体"/>
          <w:color w:val="auto"/>
          <w:kern w:val="0"/>
          <w:sz w:val="32"/>
          <w:szCs w:val="32"/>
        </w:rPr>
        <w:t>月</w:t>
      </w:r>
      <w:r>
        <w:rPr>
          <w:rFonts w:hint="eastAsia"/>
          <w:color w:val="auto"/>
          <w:kern w:val="0"/>
          <w:sz w:val="32"/>
          <w:szCs w:val="32"/>
          <w:lang w:val="en-US" w:eastAsia="zh-CN"/>
        </w:rPr>
        <w:t>25</w:t>
      </w:r>
      <w:r>
        <w:rPr>
          <w:rFonts w:ascii="宋体" w:hAnsi="宋体"/>
          <w:color w:val="auto"/>
          <w:kern w:val="0"/>
          <w:sz w:val="32"/>
          <w:szCs w:val="32"/>
        </w:rPr>
        <w:t>日</w:t>
      </w:r>
    </w:p>
    <w:p>
      <w:pPr>
        <w:widowControl/>
        <w:spacing w:line="600" w:lineRule="exact"/>
        <w:ind w:firstLine="480"/>
        <w:jc w:val="center"/>
        <w:rPr>
          <w:rFonts w:ascii="宋体" w:hAnsi="宋体"/>
          <w:color w:val="auto"/>
          <w:kern w:val="0"/>
          <w:sz w:val="32"/>
          <w:szCs w:val="32"/>
        </w:rPr>
      </w:pPr>
      <w:r>
        <w:rPr>
          <w:rFonts w:ascii="宋体" w:hAnsi="宋体"/>
          <w:color w:val="auto"/>
          <w:kern w:val="0"/>
          <w:sz w:val="32"/>
          <w:szCs w:val="32"/>
        </w:rPr>
        <w:br w:type="page"/>
      </w:r>
    </w:p>
    <w:p>
      <w:pPr>
        <w:widowControl/>
        <w:spacing w:line="600" w:lineRule="exact"/>
        <w:ind w:firstLine="480"/>
        <w:jc w:val="center"/>
        <w:rPr>
          <w:rFonts w:ascii="宋体" w:hAnsi="宋体"/>
          <w:b/>
          <w:bCs/>
          <w:color w:val="auto"/>
          <w:sz w:val="44"/>
          <w:szCs w:val="44"/>
        </w:rPr>
      </w:pPr>
    </w:p>
    <w:p>
      <w:pPr>
        <w:widowControl/>
        <w:spacing w:line="600" w:lineRule="exact"/>
        <w:ind w:firstLine="480"/>
        <w:jc w:val="center"/>
        <w:rPr>
          <w:b/>
          <w:bCs/>
          <w:color w:val="auto"/>
          <w:sz w:val="18"/>
          <w:szCs w:val="18"/>
        </w:rPr>
      </w:pPr>
      <w:r>
        <w:rPr>
          <w:rFonts w:ascii="宋体" w:hAnsi="宋体"/>
          <w:b/>
          <w:bCs/>
          <w:color w:val="auto"/>
          <w:sz w:val="44"/>
          <w:szCs w:val="44"/>
        </w:rPr>
        <w:t>规范安全生产中介行为的九条禁令</w:t>
      </w:r>
    </w:p>
    <w:p>
      <w:pPr>
        <w:widowControl/>
        <w:spacing w:line="600" w:lineRule="exact"/>
        <w:ind w:firstLine="632"/>
        <w:jc w:val="left"/>
        <w:rPr>
          <w:rFonts w:hAnsi="宋体"/>
          <w:color w:val="auto"/>
          <w:kern w:val="0"/>
          <w:sz w:val="32"/>
          <w:szCs w:val="32"/>
        </w:rPr>
      </w:pPr>
    </w:p>
    <w:p>
      <w:pPr>
        <w:widowControl/>
        <w:spacing w:line="600" w:lineRule="exact"/>
        <w:ind w:firstLine="640" w:firstLineChars="200"/>
        <w:jc w:val="left"/>
        <w:rPr>
          <w:color w:val="auto"/>
          <w:kern w:val="0"/>
          <w:sz w:val="18"/>
          <w:szCs w:val="18"/>
        </w:rPr>
      </w:pPr>
      <w:r>
        <w:rPr>
          <w:rFonts w:ascii="宋体" w:hAnsi="宋体"/>
          <w:color w:val="auto"/>
          <w:kern w:val="0"/>
          <w:sz w:val="32"/>
          <w:szCs w:val="32"/>
        </w:rPr>
        <w:t>一、禁止从事安全生产和职业卫生服务的中介服务机构（以下统称中介机构）租借资质证书、非法挂靠、转包服务项目的行为；</w:t>
      </w:r>
      <w:r>
        <w:rPr>
          <w:color w:val="auto"/>
          <w:kern w:val="0"/>
          <w:sz w:val="32"/>
          <w:szCs w:val="32"/>
        </w:rPr>
        <w:t xml:space="preserve"> </w:t>
      </w:r>
    </w:p>
    <w:p>
      <w:pPr>
        <w:widowControl/>
        <w:spacing w:line="600" w:lineRule="exact"/>
        <w:ind w:firstLine="640" w:firstLineChars="200"/>
        <w:jc w:val="left"/>
        <w:rPr>
          <w:color w:val="auto"/>
          <w:kern w:val="0"/>
          <w:sz w:val="18"/>
          <w:szCs w:val="18"/>
        </w:rPr>
      </w:pPr>
      <w:r>
        <w:rPr>
          <w:rFonts w:ascii="宋体" w:hAnsi="宋体"/>
          <w:color w:val="auto"/>
          <w:kern w:val="0"/>
          <w:sz w:val="32"/>
          <w:szCs w:val="32"/>
        </w:rPr>
        <w:t>二、禁止中介机构假借、冒用他人名义要求服务对象接受有偿服务，或者恶意低价竞争以及采取串标、围标等不正当竞争手段，扰乱技术服务市场秩序的行为；</w:t>
      </w:r>
      <w:r>
        <w:rPr>
          <w:color w:val="auto"/>
          <w:kern w:val="0"/>
          <w:sz w:val="18"/>
          <w:szCs w:val="18"/>
        </w:rPr>
        <w:t xml:space="preserve"> </w:t>
      </w:r>
    </w:p>
    <w:p>
      <w:pPr>
        <w:widowControl/>
        <w:spacing w:line="600" w:lineRule="exact"/>
        <w:ind w:firstLine="640" w:firstLineChars="200"/>
        <w:jc w:val="left"/>
        <w:rPr>
          <w:color w:val="auto"/>
          <w:kern w:val="0"/>
          <w:sz w:val="18"/>
          <w:szCs w:val="18"/>
        </w:rPr>
      </w:pPr>
      <w:r>
        <w:rPr>
          <w:rFonts w:ascii="宋体" w:hAnsi="宋体"/>
          <w:color w:val="auto"/>
          <w:kern w:val="0"/>
          <w:sz w:val="32"/>
          <w:szCs w:val="32"/>
        </w:rPr>
        <w:t>三、禁止中介机构出具虚假或漏项、缺项技术报告的行为；</w:t>
      </w:r>
      <w:r>
        <w:rPr>
          <w:color w:val="auto"/>
          <w:kern w:val="0"/>
          <w:sz w:val="18"/>
          <w:szCs w:val="18"/>
        </w:rPr>
        <w:t xml:space="preserve"> </w:t>
      </w:r>
    </w:p>
    <w:p>
      <w:pPr>
        <w:widowControl/>
        <w:spacing w:line="600" w:lineRule="exact"/>
        <w:ind w:firstLine="640" w:firstLineChars="200"/>
        <w:jc w:val="left"/>
        <w:rPr>
          <w:color w:val="auto"/>
          <w:kern w:val="0"/>
          <w:sz w:val="18"/>
          <w:szCs w:val="18"/>
        </w:rPr>
      </w:pPr>
      <w:r>
        <w:rPr>
          <w:rFonts w:ascii="宋体" w:hAnsi="宋体"/>
          <w:color w:val="auto"/>
          <w:kern w:val="0"/>
          <w:sz w:val="32"/>
          <w:szCs w:val="32"/>
        </w:rPr>
        <w:t>四、禁止中介机构出租、出借资格证书、在报告上冒用他人签名的行为；</w:t>
      </w:r>
      <w:r>
        <w:rPr>
          <w:color w:val="auto"/>
          <w:kern w:val="0"/>
          <w:sz w:val="32"/>
          <w:szCs w:val="32"/>
        </w:rPr>
        <w:t xml:space="preserve"> </w:t>
      </w:r>
    </w:p>
    <w:p>
      <w:pPr>
        <w:widowControl/>
        <w:spacing w:line="600" w:lineRule="exact"/>
        <w:ind w:firstLine="640" w:firstLineChars="200"/>
        <w:jc w:val="left"/>
        <w:rPr>
          <w:color w:val="auto"/>
          <w:kern w:val="0"/>
          <w:sz w:val="18"/>
          <w:szCs w:val="18"/>
        </w:rPr>
      </w:pPr>
      <w:r>
        <w:rPr>
          <w:rFonts w:ascii="宋体" w:hAnsi="宋体"/>
          <w:color w:val="auto"/>
          <w:kern w:val="0"/>
          <w:sz w:val="32"/>
          <w:szCs w:val="32"/>
        </w:rPr>
        <w:t>五、禁止中介机构有应到而不到现场开展技术服务的行为；</w:t>
      </w:r>
      <w:r>
        <w:rPr>
          <w:color w:val="auto"/>
          <w:kern w:val="0"/>
          <w:sz w:val="18"/>
          <w:szCs w:val="18"/>
        </w:rPr>
        <w:t xml:space="preserve"> </w:t>
      </w:r>
    </w:p>
    <w:p>
      <w:pPr>
        <w:widowControl/>
        <w:spacing w:line="600" w:lineRule="exact"/>
        <w:ind w:firstLine="640" w:firstLineChars="200"/>
        <w:jc w:val="left"/>
        <w:rPr>
          <w:color w:val="auto"/>
          <w:kern w:val="0"/>
          <w:sz w:val="18"/>
          <w:szCs w:val="18"/>
        </w:rPr>
      </w:pPr>
      <w:r>
        <w:rPr>
          <w:rFonts w:ascii="宋体" w:hAnsi="宋体"/>
          <w:color w:val="auto"/>
          <w:kern w:val="0"/>
          <w:sz w:val="32"/>
          <w:szCs w:val="32"/>
        </w:rPr>
        <w:t>六、禁止安全生产监管部门及其工作人员要求生产经营单位接受指定的中介机构开展技术服务的行为；</w:t>
      </w:r>
      <w:r>
        <w:rPr>
          <w:color w:val="auto"/>
          <w:kern w:val="0"/>
          <w:sz w:val="18"/>
          <w:szCs w:val="18"/>
        </w:rPr>
        <w:t xml:space="preserve"> </w:t>
      </w:r>
    </w:p>
    <w:p>
      <w:pPr>
        <w:widowControl/>
        <w:spacing w:line="600" w:lineRule="exact"/>
        <w:ind w:firstLine="640" w:firstLineChars="200"/>
        <w:jc w:val="left"/>
        <w:rPr>
          <w:color w:val="auto"/>
          <w:kern w:val="0"/>
          <w:sz w:val="18"/>
          <w:szCs w:val="18"/>
        </w:rPr>
      </w:pPr>
      <w:r>
        <w:rPr>
          <w:rFonts w:ascii="宋体" w:hAnsi="宋体"/>
          <w:color w:val="auto"/>
          <w:kern w:val="0"/>
          <w:sz w:val="32"/>
          <w:szCs w:val="32"/>
        </w:rPr>
        <w:t>七、禁止安全生产监管部门及其工作人员没有法律依据组织由生产经营单位或机构支付费用的行政性评审的行为；</w:t>
      </w:r>
      <w:r>
        <w:rPr>
          <w:color w:val="auto"/>
          <w:kern w:val="0"/>
          <w:sz w:val="18"/>
          <w:szCs w:val="18"/>
        </w:rPr>
        <w:t xml:space="preserve"> </w:t>
      </w:r>
    </w:p>
    <w:p>
      <w:pPr>
        <w:widowControl/>
        <w:spacing w:line="600" w:lineRule="exact"/>
        <w:ind w:firstLine="640" w:firstLineChars="200"/>
        <w:rPr>
          <w:color w:val="auto"/>
          <w:kern w:val="0"/>
          <w:sz w:val="18"/>
          <w:szCs w:val="18"/>
        </w:rPr>
      </w:pPr>
      <w:r>
        <w:rPr>
          <w:rFonts w:ascii="宋体" w:hAnsi="宋体"/>
          <w:color w:val="auto"/>
          <w:kern w:val="0"/>
          <w:sz w:val="32"/>
          <w:szCs w:val="32"/>
        </w:rPr>
        <w:t>八、禁止安全生产监管部门及其工作人员干预市场定价，违规擅自出台技术服务收费标准的行为；</w:t>
      </w:r>
      <w:r>
        <w:rPr>
          <w:color w:val="auto"/>
          <w:kern w:val="0"/>
          <w:sz w:val="18"/>
          <w:szCs w:val="18"/>
        </w:rPr>
        <w:t xml:space="preserve"> </w:t>
      </w:r>
    </w:p>
    <w:p>
      <w:pPr>
        <w:rPr>
          <w:rFonts w:hint="eastAsia" w:ascii="宋体" w:hAnsi="宋体"/>
          <w:b/>
          <w:color w:val="auto"/>
          <w:sz w:val="32"/>
          <w:szCs w:val="32"/>
        </w:rPr>
      </w:pPr>
      <w:r>
        <w:rPr>
          <w:rFonts w:ascii="宋体" w:hAnsi="宋体"/>
          <w:color w:val="auto"/>
          <w:sz w:val="32"/>
          <w:szCs w:val="32"/>
        </w:rPr>
        <w:t>九、禁止安全生产监管部门及其工作人员参与、擅自干预中介机构从业活动，或者有获取不正当利益的行为。</w:t>
      </w:r>
      <w:r>
        <w:rPr>
          <w:rFonts w:ascii="Times New Roman" w:hAnsi="Times New Roman" w:cs="Times New Roman"/>
          <w:b/>
          <w:color w:val="auto"/>
          <w:sz w:val="28"/>
          <w:szCs w:val="28"/>
        </w:rPr>
        <w:br w:type="page"/>
      </w:r>
    </w:p>
    <w:p>
      <w:pPr>
        <w:widowControl/>
        <w:spacing w:line="500" w:lineRule="exact"/>
        <w:jc w:val="center"/>
        <w:rPr>
          <w:rFonts w:hint="eastAsia" w:ascii="宋体" w:hAnsi="宋体"/>
          <w:b/>
          <w:color w:val="auto"/>
          <w:sz w:val="32"/>
          <w:szCs w:val="32"/>
        </w:rPr>
      </w:pP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eastAsia" w:ascii="宋体" w:hAnsi="宋体"/>
          <w:b/>
          <w:sz w:val="28"/>
          <w:szCs w:val="28"/>
        </w:rPr>
      </w:pPr>
      <w:r>
        <w:rPr>
          <w:rFonts w:hint="eastAsia" w:ascii="宋体" w:hAnsi="宋体"/>
          <w:b/>
          <w:sz w:val="28"/>
          <w:szCs w:val="28"/>
        </w:rPr>
        <w:t>兴宁市守元矿业有限公司</w:t>
      </w:r>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b/>
          <w:sz w:val="28"/>
          <w:szCs w:val="28"/>
        </w:rPr>
      </w:pPr>
      <w:r>
        <w:rPr>
          <w:rFonts w:hint="eastAsia" w:ascii="宋体" w:hAnsi="宋体"/>
          <w:b/>
          <w:sz w:val="28"/>
          <w:szCs w:val="28"/>
        </w:rPr>
        <w:t>军营高岭土矿分公司</w:t>
      </w:r>
      <w:bookmarkStart w:id="362" w:name="_GoBack"/>
      <w:bookmarkEnd w:id="362"/>
    </w:p>
    <w:p>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b/>
          <w:sz w:val="28"/>
          <w:szCs w:val="28"/>
        </w:rPr>
      </w:pPr>
      <w:r>
        <w:rPr>
          <w:rFonts w:hint="eastAsia" w:ascii="宋体" w:hAnsi="宋体"/>
          <w:b/>
          <w:sz w:val="28"/>
          <w:szCs w:val="28"/>
        </w:rPr>
        <w:t>扩建年产5万吨高岭土露天开采项目</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b/>
          <w:kern w:val="10"/>
          <w:sz w:val="28"/>
          <w:szCs w:val="28"/>
        </w:rPr>
      </w:pPr>
      <w:r>
        <w:rPr>
          <w:rFonts w:hint="eastAsia" w:ascii="宋体" w:hAnsi="宋体"/>
          <w:b/>
          <w:kern w:val="10"/>
          <w:sz w:val="28"/>
          <w:szCs w:val="28"/>
        </w:rPr>
        <w:t>安全预评价报告</w:t>
      </w:r>
    </w:p>
    <w:p>
      <w:pPr>
        <w:keepNext w:val="0"/>
        <w:keepLines w:val="0"/>
        <w:pageBreakBefore w:val="0"/>
        <w:kinsoku/>
        <w:wordWrap/>
        <w:overflowPunct/>
        <w:topLinePunct w:val="0"/>
        <w:autoSpaceDE/>
        <w:autoSpaceDN/>
        <w:bidi w:val="0"/>
        <w:adjustRightInd/>
        <w:snapToGrid/>
        <w:spacing w:line="400" w:lineRule="exact"/>
        <w:jc w:val="center"/>
        <w:textAlignment w:val="auto"/>
        <w:rPr>
          <w:rFonts w:hint="eastAsia" w:ascii="宋体" w:hAnsi="宋体"/>
          <w:b/>
          <w:kern w:val="10"/>
          <w:sz w:val="28"/>
          <w:szCs w:val="28"/>
        </w:rPr>
      </w:pPr>
    </w:p>
    <w:p>
      <w:pPr>
        <w:jc w:val="center"/>
        <w:rPr>
          <w:rFonts w:hint="eastAsia" w:eastAsia="黑体"/>
          <w:b/>
          <w:color w:val="auto"/>
          <w:sz w:val="32"/>
        </w:rPr>
      </w:pPr>
      <w:r>
        <w:rPr>
          <w:rFonts w:hint="eastAsia" w:eastAsia="黑体"/>
          <w:b/>
          <w:color w:val="auto"/>
          <w:sz w:val="32"/>
        </w:rPr>
        <w:t>评</w:t>
      </w:r>
      <w:r>
        <w:rPr>
          <w:rFonts w:eastAsia="黑体"/>
          <w:b/>
          <w:color w:val="auto"/>
          <w:sz w:val="32"/>
        </w:rPr>
        <w:t xml:space="preserve"> </w:t>
      </w:r>
      <w:r>
        <w:rPr>
          <w:rFonts w:hint="eastAsia" w:eastAsia="黑体"/>
          <w:b/>
          <w:color w:val="auto"/>
          <w:sz w:val="32"/>
        </w:rPr>
        <w:t>价</w:t>
      </w:r>
      <w:r>
        <w:rPr>
          <w:rFonts w:eastAsia="黑体"/>
          <w:b/>
          <w:color w:val="auto"/>
          <w:sz w:val="32"/>
        </w:rPr>
        <w:t xml:space="preserve"> </w:t>
      </w:r>
      <w:r>
        <w:rPr>
          <w:rFonts w:hint="eastAsia" w:eastAsia="黑体"/>
          <w:b/>
          <w:color w:val="auto"/>
          <w:sz w:val="32"/>
        </w:rPr>
        <w:t>人</w:t>
      </w:r>
      <w:r>
        <w:rPr>
          <w:rFonts w:eastAsia="黑体"/>
          <w:b/>
          <w:color w:val="auto"/>
          <w:sz w:val="32"/>
        </w:rPr>
        <w:t xml:space="preserve"> </w:t>
      </w:r>
      <w:r>
        <w:rPr>
          <w:rFonts w:hint="eastAsia" w:eastAsia="黑体"/>
          <w:b/>
          <w:color w:val="auto"/>
          <w:sz w:val="32"/>
        </w:rPr>
        <w:t>员</w:t>
      </w:r>
    </w:p>
    <w:p>
      <w:pPr>
        <w:jc w:val="center"/>
        <w:rPr>
          <w:rFonts w:eastAsia="黑体"/>
          <w:b/>
          <w:color w:val="auto"/>
          <w:sz w:val="32"/>
        </w:rPr>
      </w:pPr>
    </w:p>
    <w:tbl>
      <w:tblPr>
        <w:tblStyle w:val="4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01"/>
        <w:gridCol w:w="1152"/>
        <w:gridCol w:w="3040"/>
        <w:gridCol w:w="1622"/>
        <w:gridCol w:w="13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171" w:type="pct"/>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4"/>
              </w:rPr>
            </w:pPr>
          </w:p>
        </w:tc>
        <w:tc>
          <w:tcPr>
            <w:tcW w:w="613" w:type="pct"/>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4"/>
              </w:rPr>
            </w:pPr>
            <w:r>
              <w:rPr>
                <w:rFonts w:hint="eastAsia"/>
                <w:color w:val="auto"/>
                <w:sz w:val="24"/>
              </w:rPr>
              <w:t>姓  名</w:t>
            </w:r>
          </w:p>
        </w:tc>
        <w:tc>
          <w:tcPr>
            <w:tcW w:w="1617" w:type="pct"/>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4"/>
              </w:rPr>
            </w:pPr>
            <w:r>
              <w:rPr>
                <w:rFonts w:hint="eastAsia"/>
                <w:color w:val="auto"/>
                <w:sz w:val="24"/>
              </w:rPr>
              <w:t>职业资格证书编号</w:t>
            </w:r>
          </w:p>
        </w:tc>
        <w:tc>
          <w:tcPr>
            <w:tcW w:w="863" w:type="pct"/>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4"/>
              </w:rPr>
            </w:pPr>
            <w:r>
              <w:rPr>
                <w:rFonts w:hint="eastAsia"/>
                <w:color w:val="auto"/>
                <w:sz w:val="24"/>
              </w:rPr>
              <w:t>从业信息</w:t>
            </w:r>
          </w:p>
          <w:p>
            <w:pPr>
              <w:jc w:val="center"/>
              <w:rPr>
                <w:color w:val="auto"/>
                <w:sz w:val="24"/>
              </w:rPr>
            </w:pPr>
            <w:r>
              <w:rPr>
                <w:rFonts w:hint="eastAsia"/>
                <w:color w:val="auto"/>
                <w:sz w:val="24"/>
              </w:rPr>
              <w:t>识别卡编号</w:t>
            </w:r>
          </w:p>
        </w:tc>
        <w:tc>
          <w:tcPr>
            <w:tcW w:w="734" w:type="pct"/>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4"/>
              </w:rPr>
            </w:pPr>
            <w:r>
              <w:rPr>
                <w:rFonts w:hint="eastAsia"/>
                <w:color w:val="auto"/>
                <w:sz w:val="24"/>
              </w:rPr>
              <w:t>签</w:t>
            </w:r>
            <w:r>
              <w:rPr>
                <w:color w:val="auto"/>
                <w:sz w:val="24"/>
              </w:rPr>
              <w:t xml:space="preserve">    </w:t>
            </w:r>
            <w:r>
              <w:rPr>
                <w:rFonts w:hint="eastAsia"/>
                <w:color w:val="auto"/>
                <w:sz w:val="24"/>
              </w:rPr>
              <w:t>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171" w:type="pct"/>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4"/>
              </w:rPr>
            </w:pPr>
            <w:r>
              <w:rPr>
                <w:rFonts w:hint="eastAsia"/>
                <w:color w:val="auto"/>
                <w:sz w:val="24"/>
              </w:rPr>
              <w:t>项目负责人</w:t>
            </w:r>
          </w:p>
        </w:tc>
        <w:tc>
          <w:tcPr>
            <w:tcW w:w="613" w:type="pct"/>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color w:val="auto"/>
                <w:sz w:val="24"/>
              </w:rPr>
            </w:pPr>
            <w:r>
              <w:rPr>
                <w:rFonts w:hint="eastAsia"/>
                <w:color w:val="auto"/>
                <w:sz w:val="24"/>
              </w:rPr>
              <w:t>管自强</w:t>
            </w:r>
          </w:p>
        </w:tc>
        <w:tc>
          <w:tcPr>
            <w:tcW w:w="1617" w:type="pct"/>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color w:val="auto"/>
                <w:sz w:val="24"/>
              </w:rPr>
            </w:pPr>
            <w:r>
              <w:rPr>
                <w:rFonts w:hint="eastAsia"/>
                <w:color w:val="auto"/>
                <w:sz w:val="24"/>
              </w:rPr>
              <w:t>S011035000110191000614</w:t>
            </w:r>
          </w:p>
        </w:tc>
        <w:tc>
          <w:tcPr>
            <w:tcW w:w="863" w:type="pct"/>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color w:val="auto"/>
                <w:sz w:val="24"/>
              </w:rPr>
            </w:pPr>
            <w:r>
              <w:rPr>
                <w:rFonts w:hint="eastAsia"/>
                <w:color w:val="auto"/>
                <w:sz w:val="24"/>
              </w:rPr>
              <w:t>020516</w:t>
            </w:r>
          </w:p>
        </w:tc>
        <w:tc>
          <w:tcPr>
            <w:tcW w:w="734" w:type="pct"/>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171" w:type="pct"/>
            <w:vMerge w:val="restart"/>
            <w:tcBorders>
              <w:left w:val="single" w:color="auto" w:sz="4" w:space="0"/>
              <w:right w:val="single" w:color="auto" w:sz="4" w:space="0"/>
            </w:tcBorders>
            <w:noWrap w:val="0"/>
            <w:vAlign w:val="center"/>
          </w:tcPr>
          <w:p>
            <w:pPr>
              <w:jc w:val="center"/>
              <w:rPr>
                <w:rFonts w:hint="eastAsia"/>
                <w:color w:val="auto"/>
                <w:sz w:val="24"/>
              </w:rPr>
            </w:pPr>
          </w:p>
          <w:p>
            <w:pPr>
              <w:jc w:val="center"/>
              <w:rPr>
                <w:rFonts w:hint="eastAsia"/>
                <w:color w:val="auto"/>
                <w:sz w:val="24"/>
              </w:rPr>
            </w:pPr>
            <w:r>
              <w:rPr>
                <w:rFonts w:hint="eastAsia"/>
                <w:color w:val="auto"/>
                <w:sz w:val="24"/>
              </w:rPr>
              <w:t>项目组成员</w:t>
            </w:r>
          </w:p>
        </w:tc>
        <w:tc>
          <w:tcPr>
            <w:tcW w:w="613" w:type="pct"/>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color w:val="auto"/>
                <w:sz w:val="24"/>
              </w:rPr>
            </w:pPr>
            <w:r>
              <w:rPr>
                <w:rFonts w:hint="eastAsia"/>
                <w:color w:val="auto"/>
                <w:sz w:val="24"/>
              </w:rPr>
              <w:t>王纪鹏</w:t>
            </w:r>
          </w:p>
        </w:tc>
        <w:tc>
          <w:tcPr>
            <w:tcW w:w="1617" w:type="pct"/>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color w:val="auto"/>
                <w:sz w:val="24"/>
              </w:rPr>
            </w:pPr>
            <w:r>
              <w:rPr>
                <w:rFonts w:hint="eastAsia"/>
                <w:color w:val="auto"/>
                <w:sz w:val="24"/>
              </w:rPr>
              <w:t>S011035000110193001260</w:t>
            </w:r>
          </w:p>
        </w:tc>
        <w:tc>
          <w:tcPr>
            <w:tcW w:w="863" w:type="pct"/>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color w:val="auto"/>
                <w:sz w:val="24"/>
              </w:rPr>
            </w:pPr>
            <w:r>
              <w:rPr>
                <w:rFonts w:hint="eastAsia"/>
                <w:color w:val="auto"/>
                <w:sz w:val="24"/>
              </w:rPr>
              <w:t>036830</w:t>
            </w:r>
          </w:p>
        </w:tc>
        <w:tc>
          <w:tcPr>
            <w:tcW w:w="734" w:type="pct"/>
            <w:tcBorders>
              <w:top w:val="single" w:color="auto" w:sz="4" w:space="0"/>
              <w:left w:val="single" w:color="auto" w:sz="4" w:space="0"/>
              <w:bottom w:val="single" w:color="auto" w:sz="4" w:space="0"/>
              <w:right w:val="single" w:color="auto" w:sz="4" w:space="0"/>
            </w:tcBorders>
            <w:noWrap w:val="0"/>
            <w:vAlign w:val="center"/>
          </w:tcPr>
          <w:p>
            <w:pPr>
              <w:spacing w:line="520" w:lineRule="exact"/>
              <w:jc w:val="center"/>
              <w:rPr>
                <w:rFonts w:hint="eastAsia"/>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171" w:type="pct"/>
            <w:vMerge w:val="continue"/>
            <w:tcBorders>
              <w:left w:val="single" w:color="auto" w:sz="4" w:space="0"/>
              <w:right w:val="single" w:color="auto" w:sz="4" w:space="0"/>
            </w:tcBorders>
            <w:noWrap w:val="0"/>
            <w:vAlign w:val="center"/>
          </w:tcPr>
          <w:p>
            <w:pPr>
              <w:jc w:val="center"/>
              <w:rPr>
                <w:rFonts w:hint="eastAsia"/>
                <w:color w:val="auto"/>
                <w:sz w:val="24"/>
              </w:rPr>
            </w:pPr>
          </w:p>
        </w:tc>
        <w:tc>
          <w:tcPr>
            <w:tcW w:w="613" w:type="pct"/>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color w:val="auto"/>
                <w:sz w:val="24"/>
              </w:rPr>
            </w:pPr>
            <w:r>
              <w:rPr>
                <w:rFonts w:hint="eastAsia"/>
                <w:color w:val="000000"/>
                <w:sz w:val="24"/>
                <w:lang w:val="en-US" w:eastAsia="zh-CN"/>
              </w:rPr>
              <w:t>温世平</w:t>
            </w:r>
          </w:p>
        </w:tc>
        <w:tc>
          <w:tcPr>
            <w:tcW w:w="1617" w:type="pct"/>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color w:val="auto"/>
                <w:sz w:val="24"/>
              </w:rPr>
            </w:pPr>
            <w:r>
              <w:rPr>
                <w:rFonts w:hint="eastAsia"/>
                <w:sz w:val="24"/>
                <w:lang w:val="en-US" w:eastAsia="zh-CN"/>
              </w:rPr>
              <w:t>0800000000202793</w:t>
            </w:r>
          </w:p>
        </w:tc>
        <w:tc>
          <w:tcPr>
            <w:tcW w:w="863" w:type="pct"/>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color w:val="auto"/>
                <w:sz w:val="24"/>
              </w:rPr>
            </w:pPr>
            <w:r>
              <w:rPr>
                <w:rFonts w:hint="eastAsia"/>
                <w:sz w:val="24"/>
                <w:lang w:val="en-US" w:eastAsia="zh-CN"/>
              </w:rPr>
              <w:t>008088</w:t>
            </w:r>
          </w:p>
        </w:tc>
        <w:tc>
          <w:tcPr>
            <w:tcW w:w="734" w:type="pct"/>
            <w:tcBorders>
              <w:top w:val="single" w:color="auto" w:sz="4" w:space="0"/>
              <w:left w:val="single" w:color="auto" w:sz="4" w:space="0"/>
              <w:bottom w:val="single" w:color="auto" w:sz="4" w:space="0"/>
              <w:right w:val="single" w:color="auto" w:sz="4" w:space="0"/>
            </w:tcBorders>
            <w:noWrap w:val="0"/>
            <w:vAlign w:val="center"/>
          </w:tcPr>
          <w:p>
            <w:pPr>
              <w:spacing w:line="520" w:lineRule="exact"/>
              <w:jc w:val="center"/>
              <w:rPr>
                <w:rFonts w:hint="eastAsia"/>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171" w:type="pct"/>
            <w:vMerge w:val="continue"/>
            <w:tcBorders>
              <w:left w:val="single" w:color="auto" w:sz="4" w:space="0"/>
              <w:right w:val="single" w:color="auto" w:sz="4" w:space="0"/>
            </w:tcBorders>
            <w:noWrap w:val="0"/>
            <w:vAlign w:val="center"/>
          </w:tcPr>
          <w:p>
            <w:pPr>
              <w:jc w:val="center"/>
              <w:rPr>
                <w:rFonts w:hint="eastAsia"/>
                <w:color w:val="auto"/>
                <w:sz w:val="24"/>
              </w:rPr>
            </w:pPr>
          </w:p>
        </w:tc>
        <w:tc>
          <w:tcPr>
            <w:tcW w:w="613" w:type="pct"/>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cs="宋体"/>
                <w:color w:val="auto"/>
                <w:sz w:val="24"/>
                <w:szCs w:val="24"/>
                <w:lang w:val="en-US" w:eastAsia="zh-CN" w:bidi="ar-SA"/>
              </w:rPr>
            </w:pPr>
            <w:r>
              <w:rPr>
                <w:rFonts w:hint="eastAsia"/>
                <w:color w:val="auto"/>
                <w:sz w:val="24"/>
              </w:rPr>
              <w:t>管自强</w:t>
            </w:r>
          </w:p>
        </w:tc>
        <w:tc>
          <w:tcPr>
            <w:tcW w:w="1617" w:type="pct"/>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cs="宋体"/>
                <w:color w:val="auto"/>
                <w:sz w:val="24"/>
                <w:szCs w:val="24"/>
                <w:lang w:val="en-US" w:eastAsia="zh-CN" w:bidi="ar-SA"/>
              </w:rPr>
            </w:pPr>
            <w:r>
              <w:rPr>
                <w:rFonts w:hint="eastAsia"/>
                <w:color w:val="auto"/>
                <w:sz w:val="24"/>
              </w:rPr>
              <w:t>S011035000110191000614</w:t>
            </w:r>
          </w:p>
        </w:tc>
        <w:tc>
          <w:tcPr>
            <w:tcW w:w="863" w:type="pct"/>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cs="宋体"/>
                <w:color w:val="auto"/>
                <w:sz w:val="24"/>
                <w:szCs w:val="24"/>
                <w:lang w:val="en-US" w:eastAsia="zh-CN" w:bidi="ar-SA"/>
              </w:rPr>
            </w:pPr>
            <w:r>
              <w:rPr>
                <w:rFonts w:hint="eastAsia"/>
                <w:color w:val="auto"/>
                <w:sz w:val="24"/>
              </w:rPr>
              <w:t>020516</w:t>
            </w:r>
          </w:p>
        </w:tc>
        <w:tc>
          <w:tcPr>
            <w:tcW w:w="734" w:type="pct"/>
            <w:tcBorders>
              <w:top w:val="single" w:color="auto" w:sz="4" w:space="0"/>
              <w:left w:val="single" w:color="auto" w:sz="4" w:space="0"/>
              <w:bottom w:val="single" w:color="auto" w:sz="4" w:space="0"/>
              <w:right w:val="single" w:color="auto" w:sz="4" w:space="0"/>
            </w:tcBorders>
            <w:noWrap w:val="0"/>
            <w:vAlign w:val="center"/>
          </w:tcPr>
          <w:p>
            <w:pPr>
              <w:spacing w:line="520" w:lineRule="exact"/>
              <w:jc w:val="center"/>
              <w:rPr>
                <w:rFonts w:hint="eastAsia"/>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171" w:type="pct"/>
            <w:vMerge w:val="continue"/>
            <w:tcBorders>
              <w:left w:val="single" w:color="auto" w:sz="4" w:space="0"/>
              <w:right w:val="single" w:color="auto" w:sz="4" w:space="0"/>
            </w:tcBorders>
            <w:noWrap w:val="0"/>
            <w:vAlign w:val="center"/>
          </w:tcPr>
          <w:p>
            <w:pPr>
              <w:jc w:val="center"/>
              <w:rPr>
                <w:rFonts w:hint="eastAsia"/>
                <w:color w:val="auto"/>
                <w:sz w:val="24"/>
              </w:rPr>
            </w:pPr>
          </w:p>
        </w:tc>
        <w:tc>
          <w:tcPr>
            <w:tcW w:w="613"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sz w:val="24"/>
                <w:szCs w:val="24"/>
                <w:lang w:val="en-US" w:eastAsia="zh-CN" w:bidi="ar-SA"/>
              </w:rPr>
            </w:pPr>
            <w:r>
              <w:rPr>
                <w:rFonts w:hint="eastAsia"/>
                <w:color w:val="auto"/>
                <w:sz w:val="24"/>
              </w:rPr>
              <w:t>黄伯扬</w:t>
            </w:r>
          </w:p>
        </w:tc>
        <w:tc>
          <w:tcPr>
            <w:tcW w:w="1617" w:type="pct"/>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cs="宋体"/>
                <w:color w:val="auto"/>
                <w:sz w:val="24"/>
                <w:szCs w:val="24"/>
                <w:lang w:val="en-US" w:eastAsia="zh-CN" w:bidi="ar-SA"/>
              </w:rPr>
            </w:pPr>
            <w:r>
              <w:rPr>
                <w:rFonts w:hint="eastAsia"/>
                <w:color w:val="auto"/>
                <w:sz w:val="24"/>
              </w:rPr>
              <w:t>1800000000300643</w:t>
            </w:r>
          </w:p>
        </w:tc>
        <w:tc>
          <w:tcPr>
            <w:tcW w:w="863" w:type="pct"/>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auto"/>
                <w:sz w:val="24"/>
                <w:szCs w:val="24"/>
                <w:lang w:val="en-US" w:eastAsia="zh-CN" w:bidi="ar-SA"/>
              </w:rPr>
            </w:pPr>
            <w:r>
              <w:rPr>
                <w:rFonts w:hint="eastAsia"/>
                <w:color w:val="auto"/>
                <w:sz w:val="24"/>
              </w:rPr>
              <w:t>032737</w:t>
            </w:r>
          </w:p>
        </w:tc>
        <w:tc>
          <w:tcPr>
            <w:tcW w:w="734" w:type="pct"/>
            <w:tcBorders>
              <w:top w:val="single" w:color="auto" w:sz="4" w:space="0"/>
              <w:left w:val="single" w:color="auto" w:sz="4" w:space="0"/>
              <w:bottom w:val="single" w:color="auto" w:sz="4" w:space="0"/>
              <w:right w:val="single" w:color="auto" w:sz="4" w:space="0"/>
            </w:tcBorders>
            <w:noWrap w:val="0"/>
            <w:vAlign w:val="center"/>
          </w:tcPr>
          <w:p>
            <w:pPr>
              <w:spacing w:line="520" w:lineRule="exact"/>
              <w:jc w:val="center"/>
              <w:rPr>
                <w:rFonts w:hint="eastAsia"/>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171" w:type="pct"/>
            <w:vMerge w:val="continue"/>
            <w:tcBorders>
              <w:left w:val="single" w:color="auto" w:sz="4" w:space="0"/>
              <w:right w:val="single" w:color="auto" w:sz="4" w:space="0"/>
            </w:tcBorders>
            <w:noWrap w:val="0"/>
            <w:vAlign w:val="center"/>
          </w:tcPr>
          <w:p>
            <w:pPr>
              <w:jc w:val="center"/>
              <w:rPr>
                <w:rFonts w:hint="eastAsia"/>
                <w:color w:val="auto"/>
                <w:sz w:val="24"/>
              </w:rPr>
            </w:pPr>
          </w:p>
        </w:tc>
        <w:tc>
          <w:tcPr>
            <w:tcW w:w="613" w:type="pct"/>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cs="宋体"/>
                <w:color w:val="auto"/>
                <w:sz w:val="24"/>
                <w:szCs w:val="24"/>
                <w:lang w:val="en-US" w:eastAsia="zh-CN" w:bidi="ar-SA"/>
              </w:rPr>
            </w:pPr>
            <w:r>
              <w:rPr>
                <w:rFonts w:hint="eastAsia"/>
                <w:color w:val="auto"/>
                <w:sz w:val="24"/>
                <w:lang w:eastAsia="zh-CN"/>
              </w:rPr>
              <w:t>方忠业</w:t>
            </w:r>
          </w:p>
        </w:tc>
        <w:tc>
          <w:tcPr>
            <w:tcW w:w="1617" w:type="pct"/>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cs="宋体"/>
                <w:color w:val="auto"/>
                <w:sz w:val="24"/>
                <w:szCs w:val="24"/>
                <w:lang w:val="en-US" w:eastAsia="zh-CN" w:bidi="ar-SA"/>
              </w:rPr>
            </w:pPr>
            <w:r>
              <w:rPr>
                <w:rFonts w:hint="eastAsia"/>
                <w:color w:val="auto"/>
                <w:sz w:val="24"/>
                <w:lang w:val="en-US" w:eastAsia="zh-CN"/>
              </w:rPr>
              <w:t>1600000000200082</w:t>
            </w:r>
          </w:p>
        </w:tc>
        <w:tc>
          <w:tcPr>
            <w:tcW w:w="863" w:type="pct"/>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ascii="宋体" w:hAnsi="宋体" w:cs="宋体"/>
                <w:color w:val="auto"/>
                <w:sz w:val="24"/>
                <w:szCs w:val="24"/>
                <w:lang w:val="en-US" w:eastAsia="zh-CN" w:bidi="ar-SA"/>
              </w:rPr>
            </w:pPr>
            <w:r>
              <w:rPr>
                <w:rFonts w:hint="eastAsia"/>
                <w:color w:val="auto"/>
                <w:sz w:val="24"/>
                <w:lang w:val="en-US" w:eastAsia="zh-CN"/>
              </w:rPr>
              <w:t>029926</w:t>
            </w:r>
          </w:p>
        </w:tc>
        <w:tc>
          <w:tcPr>
            <w:tcW w:w="734" w:type="pct"/>
            <w:tcBorders>
              <w:top w:val="single" w:color="auto" w:sz="4" w:space="0"/>
              <w:left w:val="single" w:color="auto" w:sz="4" w:space="0"/>
              <w:bottom w:val="single" w:color="auto" w:sz="4" w:space="0"/>
              <w:right w:val="single" w:color="auto" w:sz="4" w:space="0"/>
            </w:tcBorders>
            <w:noWrap w:val="0"/>
            <w:vAlign w:val="center"/>
          </w:tcPr>
          <w:p>
            <w:pPr>
              <w:spacing w:line="520" w:lineRule="exact"/>
              <w:jc w:val="center"/>
              <w:rPr>
                <w:rFonts w:hint="eastAsia"/>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171" w:type="pct"/>
            <w:tcBorders>
              <w:top w:val="single" w:color="auto" w:sz="4" w:space="0"/>
              <w:left w:val="single" w:color="auto" w:sz="4" w:space="0"/>
              <w:right w:val="single" w:color="auto" w:sz="4" w:space="0"/>
            </w:tcBorders>
            <w:noWrap w:val="0"/>
            <w:vAlign w:val="center"/>
          </w:tcPr>
          <w:p>
            <w:pPr>
              <w:jc w:val="center"/>
              <w:rPr>
                <w:color w:val="auto"/>
                <w:sz w:val="24"/>
              </w:rPr>
            </w:pPr>
            <w:r>
              <w:rPr>
                <w:rFonts w:hint="eastAsia"/>
                <w:color w:val="auto"/>
                <w:sz w:val="24"/>
              </w:rPr>
              <w:t>报告编制人</w:t>
            </w:r>
          </w:p>
        </w:tc>
        <w:tc>
          <w:tcPr>
            <w:tcW w:w="613" w:type="pct"/>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color w:val="auto"/>
                <w:sz w:val="24"/>
              </w:rPr>
            </w:pPr>
            <w:r>
              <w:rPr>
                <w:rFonts w:hint="eastAsia"/>
                <w:color w:val="000000"/>
                <w:sz w:val="24"/>
                <w:lang w:val="en-US" w:eastAsia="zh-CN"/>
              </w:rPr>
              <w:t>温世平</w:t>
            </w:r>
          </w:p>
        </w:tc>
        <w:tc>
          <w:tcPr>
            <w:tcW w:w="1617" w:type="pct"/>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color w:val="auto"/>
                <w:sz w:val="24"/>
              </w:rPr>
            </w:pPr>
            <w:r>
              <w:rPr>
                <w:rFonts w:hint="eastAsia"/>
                <w:sz w:val="24"/>
                <w:lang w:val="en-US" w:eastAsia="zh-CN"/>
              </w:rPr>
              <w:t>0800000000202793</w:t>
            </w:r>
          </w:p>
        </w:tc>
        <w:tc>
          <w:tcPr>
            <w:tcW w:w="863" w:type="pct"/>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color w:val="auto"/>
                <w:sz w:val="24"/>
              </w:rPr>
            </w:pPr>
            <w:r>
              <w:rPr>
                <w:rFonts w:hint="eastAsia"/>
                <w:sz w:val="24"/>
                <w:lang w:val="en-US" w:eastAsia="zh-CN"/>
              </w:rPr>
              <w:t>008088</w:t>
            </w:r>
          </w:p>
        </w:tc>
        <w:tc>
          <w:tcPr>
            <w:tcW w:w="734" w:type="pct"/>
            <w:tcBorders>
              <w:top w:val="single" w:color="auto" w:sz="4" w:space="0"/>
              <w:left w:val="single" w:color="auto" w:sz="4" w:space="0"/>
              <w:bottom w:val="single" w:color="auto" w:sz="4" w:space="0"/>
              <w:right w:val="single" w:color="auto" w:sz="4" w:space="0"/>
            </w:tcBorders>
            <w:noWrap w:val="0"/>
            <w:vAlign w:val="center"/>
          </w:tcPr>
          <w:p>
            <w:pPr>
              <w:spacing w:line="520" w:lineRule="exact"/>
              <w:jc w:val="center"/>
              <w:rPr>
                <w:rFonts w:hint="eastAsia"/>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171" w:type="pct"/>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4"/>
              </w:rPr>
            </w:pPr>
            <w:r>
              <w:rPr>
                <w:rFonts w:hint="eastAsia"/>
                <w:color w:val="auto"/>
                <w:sz w:val="24"/>
              </w:rPr>
              <w:t>报告审核人</w:t>
            </w:r>
          </w:p>
        </w:tc>
        <w:tc>
          <w:tcPr>
            <w:tcW w:w="613" w:type="pct"/>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color w:val="auto"/>
                <w:sz w:val="24"/>
              </w:rPr>
            </w:pPr>
            <w:r>
              <w:rPr>
                <w:rFonts w:hint="eastAsia"/>
                <w:color w:val="auto"/>
                <w:sz w:val="24"/>
              </w:rPr>
              <w:t>戴  磷</w:t>
            </w:r>
          </w:p>
        </w:tc>
        <w:tc>
          <w:tcPr>
            <w:tcW w:w="1617" w:type="pct"/>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color w:val="auto"/>
                <w:sz w:val="24"/>
              </w:rPr>
            </w:pPr>
            <w:r>
              <w:rPr>
                <w:rFonts w:hint="eastAsia"/>
                <w:color w:val="auto"/>
                <w:sz w:val="24"/>
              </w:rPr>
              <w:t>1100000000200597</w:t>
            </w:r>
          </w:p>
        </w:tc>
        <w:tc>
          <w:tcPr>
            <w:tcW w:w="863" w:type="pct"/>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color w:val="auto"/>
                <w:sz w:val="24"/>
              </w:rPr>
            </w:pPr>
            <w:r>
              <w:rPr>
                <w:rFonts w:hint="eastAsia"/>
                <w:color w:val="auto"/>
                <w:sz w:val="24"/>
              </w:rPr>
              <w:t>019915</w:t>
            </w:r>
          </w:p>
        </w:tc>
        <w:tc>
          <w:tcPr>
            <w:tcW w:w="734" w:type="pct"/>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171" w:type="pct"/>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4"/>
              </w:rPr>
            </w:pPr>
            <w:r>
              <w:rPr>
                <w:rFonts w:hint="eastAsia"/>
                <w:color w:val="auto"/>
                <w:sz w:val="24"/>
              </w:rPr>
              <w:t>过程控制负责人</w:t>
            </w:r>
          </w:p>
        </w:tc>
        <w:tc>
          <w:tcPr>
            <w:tcW w:w="613" w:type="pct"/>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color w:val="auto"/>
                <w:sz w:val="24"/>
              </w:rPr>
            </w:pPr>
            <w:r>
              <w:rPr>
                <w:rFonts w:hint="eastAsia"/>
                <w:color w:val="auto"/>
                <w:sz w:val="24"/>
              </w:rPr>
              <w:t>王海波</w:t>
            </w:r>
          </w:p>
        </w:tc>
        <w:tc>
          <w:tcPr>
            <w:tcW w:w="1617" w:type="pct"/>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color w:val="auto"/>
                <w:sz w:val="24"/>
              </w:rPr>
            </w:pPr>
            <w:r>
              <w:rPr>
                <w:rFonts w:hint="eastAsia"/>
                <w:color w:val="auto"/>
                <w:sz w:val="24"/>
              </w:rPr>
              <w:t>S011035000110201000579</w:t>
            </w:r>
          </w:p>
        </w:tc>
        <w:tc>
          <w:tcPr>
            <w:tcW w:w="863" w:type="pct"/>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color w:val="auto"/>
                <w:sz w:val="24"/>
              </w:rPr>
            </w:pPr>
            <w:r>
              <w:rPr>
                <w:color w:val="auto"/>
                <w:sz w:val="24"/>
              </w:rPr>
              <w:t>032727</w:t>
            </w:r>
          </w:p>
        </w:tc>
        <w:tc>
          <w:tcPr>
            <w:tcW w:w="734" w:type="pct"/>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trPr>
        <w:tc>
          <w:tcPr>
            <w:tcW w:w="1171" w:type="pct"/>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4"/>
              </w:rPr>
            </w:pPr>
            <w:r>
              <w:rPr>
                <w:rFonts w:hint="eastAsia"/>
                <w:color w:val="auto"/>
                <w:sz w:val="24"/>
              </w:rPr>
              <w:t>技术负责人</w:t>
            </w:r>
          </w:p>
        </w:tc>
        <w:tc>
          <w:tcPr>
            <w:tcW w:w="613" w:type="pct"/>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color w:val="auto"/>
                <w:sz w:val="24"/>
              </w:rPr>
            </w:pPr>
            <w:r>
              <w:rPr>
                <w:rFonts w:hint="eastAsia"/>
                <w:color w:val="auto"/>
                <w:sz w:val="24"/>
              </w:rPr>
              <w:t>管自强</w:t>
            </w:r>
          </w:p>
        </w:tc>
        <w:tc>
          <w:tcPr>
            <w:tcW w:w="1617" w:type="pct"/>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color w:val="auto"/>
                <w:sz w:val="24"/>
              </w:rPr>
            </w:pPr>
            <w:r>
              <w:rPr>
                <w:rFonts w:hint="eastAsia"/>
                <w:color w:val="auto"/>
                <w:sz w:val="24"/>
              </w:rPr>
              <w:t>S011035000110191000614</w:t>
            </w:r>
          </w:p>
        </w:tc>
        <w:tc>
          <w:tcPr>
            <w:tcW w:w="863" w:type="pct"/>
            <w:tcBorders>
              <w:top w:val="single" w:color="auto" w:sz="4" w:space="0"/>
              <w:left w:val="single" w:color="auto" w:sz="4" w:space="0"/>
              <w:bottom w:val="single" w:color="auto" w:sz="4" w:space="0"/>
              <w:right w:val="single" w:color="auto" w:sz="4" w:space="0"/>
            </w:tcBorders>
            <w:noWrap w:val="0"/>
            <w:vAlign w:val="center"/>
          </w:tcPr>
          <w:p>
            <w:pPr>
              <w:spacing w:line="400" w:lineRule="exact"/>
              <w:jc w:val="center"/>
              <w:rPr>
                <w:rFonts w:hint="eastAsia"/>
                <w:color w:val="auto"/>
                <w:sz w:val="24"/>
              </w:rPr>
            </w:pPr>
            <w:r>
              <w:rPr>
                <w:rFonts w:hint="eastAsia"/>
                <w:color w:val="auto"/>
                <w:sz w:val="24"/>
              </w:rPr>
              <w:t>020516</w:t>
            </w:r>
          </w:p>
        </w:tc>
        <w:tc>
          <w:tcPr>
            <w:tcW w:w="734" w:type="pct"/>
            <w:tcBorders>
              <w:top w:val="single" w:color="auto" w:sz="4" w:space="0"/>
              <w:left w:val="single" w:color="auto" w:sz="4" w:space="0"/>
              <w:bottom w:val="single" w:color="auto" w:sz="4" w:space="0"/>
              <w:right w:val="single" w:color="auto" w:sz="4" w:space="0"/>
            </w:tcBorders>
            <w:noWrap w:val="0"/>
            <w:vAlign w:val="center"/>
          </w:tcPr>
          <w:p>
            <w:pPr>
              <w:jc w:val="center"/>
              <w:rPr>
                <w:color w:val="auto"/>
                <w:sz w:val="24"/>
              </w:rPr>
            </w:pPr>
          </w:p>
        </w:tc>
      </w:tr>
    </w:tbl>
    <w:p>
      <w:pPr>
        <w:rPr>
          <w:rFonts w:hint="eastAsia" w:ascii="宋体" w:hAnsi="宋体"/>
          <w:b/>
          <w:color w:val="auto"/>
          <w:sz w:val="32"/>
          <w:szCs w:val="32"/>
        </w:rPr>
      </w:pPr>
    </w:p>
    <w:p>
      <w:pPr>
        <w:rPr>
          <w:rFonts w:hint="eastAsia" w:ascii="宋体" w:hAnsi="宋体"/>
          <w:b/>
          <w:color w:val="auto"/>
          <w:sz w:val="32"/>
          <w:szCs w:val="32"/>
        </w:rPr>
      </w:pPr>
      <w:r>
        <w:rPr>
          <w:rFonts w:hint="eastAsia" w:ascii="宋体" w:hAnsi="宋体"/>
          <w:b/>
          <w:color w:val="auto"/>
          <w:sz w:val="32"/>
          <w:szCs w:val="32"/>
        </w:rPr>
        <w:br w:type="page"/>
      </w:r>
    </w:p>
    <w:p>
      <w:pPr>
        <w:widowControl/>
        <w:spacing w:line="500" w:lineRule="exact"/>
        <w:jc w:val="center"/>
        <w:rPr>
          <w:rFonts w:ascii="宋体" w:hAnsi="宋体"/>
          <w:b/>
          <w:color w:val="auto"/>
          <w:sz w:val="32"/>
          <w:szCs w:val="32"/>
        </w:rPr>
      </w:pPr>
      <w:r>
        <w:rPr>
          <w:rFonts w:hint="eastAsia" w:ascii="宋体" w:hAnsi="宋体"/>
          <w:b/>
          <w:color w:val="auto"/>
          <w:sz w:val="32"/>
          <w:szCs w:val="32"/>
        </w:rPr>
        <w:t>前</w:t>
      </w:r>
      <w:r>
        <w:rPr>
          <w:rFonts w:hint="eastAsia" w:ascii="宋体" w:hAnsi="宋体"/>
          <w:b/>
          <w:color w:val="auto"/>
          <w:sz w:val="32"/>
          <w:szCs w:val="32"/>
          <w:lang w:val="en-US" w:eastAsia="zh-CN"/>
        </w:rPr>
        <w:t xml:space="preserve">  </w:t>
      </w:r>
      <w:r>
        <w:rPr>
          <w:rFonts w:ascii="宋体" w:hAnsi="宋体"/>
          <w:b/>
          <w:color w:val="auto"/>
          <w:sz w:val="32"/>
          <w:szCs w:val="32"/>
        </w:rPr>
        <w:t xml:space="preserve"> </w:t>
      </w:r>
      <w:r>
        <w:rPr>
          <w:rFonts w:hint="eastAsia" w:ascii="宋体" w:hAnsi="宋体"/>
          <w:b/>
          <w:color w:val="auto"/>
          <w:sz w:val="32"/>
          <w:szCs w:val="32"/>
        </w:rPr>
        <w:t>言</w:t>
      </w:r>
    </w:p>
    <w:p>
      <w:pPr>
        <w:widowControl/>
        <w:spacing w:line="500" w:lineRule="exact"/>
        <w:ind w:firstLine="480" w:firstLineChars="200"/>
        <w:rPr>
          <w:rFonts w:hint="eastAsia" w:ascii="宋体" w:hAnsi="宋体"/>
          <w:bCs/>
          <w:color w:val="auto"/>
          <w:kern w:val="24"/>
          <w:sz w:val="24"/>
        </w:rPr>
      </w:pPr>
    </w:p>
    <w:p>
      <w:pPr>
        <w:widowControl/>
        <w:spacing w:line="500" w:lineRule="exact"/>
        <w:ind w:firstLine="480" w:firstLineChars="200"/>
        <w:rPr>
          <w:rFonts w:ascii="宋体" w:hAnsi="宋体"/>
          <w:bCs/>
          <w:color w:val="auto"/>
          <w:kern w:val="24"/>
          <w:sz w:val="24"/>
        </w:rPr>
      </w:pPr>
      <w:r>
        <w:rPr>
          <w:rFonts w:hint="eastAsia" w:ascii="宋体" w:hAnsi="宋体"/>
          <w:bCs/>
          <w:color w:val="auto"/>
          <w:kern w:val="24"/>
          <w:sz w:val="24"/>
        </w:rPr>
        <w:t>军营高岭土矿分公司</w:t>
      </w:r>
      <w:r>
        <w:rPr>
          <w:rFonts w:ascii="宋体" w:hAnsi="宋体"/>
          <w:bCs/>
          <w:color w:val="auto"/>
          <w:kern w:val="24"/>
          <w:sz w:val="24"/>
        </w:rPr>
        <w:t>采矿权人为</w:t>
      </w:r>
      <w:r>
        <w:rPr>
          <w:rFonts w:hint="eastAsia" w:ascii="宋体" w:hAnsi="宋体"/>
          <w:bCs/>
          <w:color w:val="auto"/>
          <w:kern w:val="24"/>
          <w:sz w:val="24"/>
        </w:rPr>
        <w:t>兴宁市守元矿业有限公司，</w:t>
      </w:r>
      <w:r>
        <w:rPr>
          <w:rFonts w:ascii="宋体" w:hAnsi="宋体"/>
          <w:bCs/>
          <w:color w:val="auto"/>
          <w:kern w:val="24"/>
          <w:sz w:val="24"/>
        </w:rPr>
        <w:t>是一家开采</w:t>
      </w:r>
      <w:r>
        <w:rPr>
          <w:rFonts w:hint="eastAsia" w:ascii="宋体" w:hAnsi="宋体"/>
          <w:bCs/>
          <w:color w:val="auto"/>
          <w:kern w:val="24"/>
          <w:sz w:val="24"/>
        </w:rPr>
        <w:t>高岭土的矿山</w:t>
      </w:r>
      <w:r>
        <w:rPr>
          <w:rFonts w:ascii="宋体" w:hAnsi="宋体"/>
          <w:bCs/>
          <w:color w:val="auto"/>
          <w:kern w:val="24"/>
          <w:sz w:val="24"/>
        </w:rPr>
        <w:t>企业，行政区划隶属</w:t>
      </w:r>
      <w:r>
        <w:rPr>
          <w:rFonts w:hint="eastAsia" w:ascii="宋体" w:hAnsi="宋体"/>
          <w:bCs/>
          <w:color w:val="auto"/>
          <w:kern w:val="24"/>
          <w:sz w:val="24"/>
        </w:rPr>
        <w:t>梅州市兴宁市新圩镇管辖</w:t>
      </w:r>
      <w:r>
        <w:rPr>
          <w:rFonts w:ascii="宋体" w:hAnsi="宋体"/>
          <w:bCs/>
          <w:color w:val="auto"/>
          <w:kern w:val="24"/>
          <w:sz w:val="24"/>
        </w:rPr>
        <w:t>。</w:t>
      </w:r>
    </w:p>
    <w:p>
      <w:pPr>
        <w:widowControl/>
        <w:spacing w:line="500" w:lineRule="exact"/>
        <w:ind w:firstLine="480" w:firstLineChars="200"/>
        <w:rPr>
          <w:rFonts w:ascii="宋体" w:hAnsi="宋体"/>
          <w:bCs/>
          <w:color w:val="auto"/>
          <w:kern w:val="24"/>
          <w:sz w:val="24"/>
          <w:lang w:bidi="en-US"/>
        </w:rPr>
      </w:pPr>
      <w:r>
        <w:rPr>
          <w:rFonts w:hint="eastAsia" w:ascii="宋体" w:hAnsi="宋体"/>
          <w:bCs/>
          <w:color w:val="auto"/>
          <w:kern w:val="24"/>
          <w:sz w:val="24"/>
          <w:lang w:bidi="en-US"/>
        </w:rPr>
        <w:t>兴宁市守元矿业有限公司于2023年4月13日取得兴宁市市场监督管理局核发的《营业执照》，统一社会信用代码：914414816771261589 ；法定代表人：廖放东；类型：有限责任公司（自然人投资或控股的法人独资）；成立日期：2008年7月23日；企业住所：兴宁市新圩镇石崖村S225线竹塘尾；经营范围：许可项目：非煤矿山矿产资源开采。（依法须经批准的项目，经相关部门批准后方可开展经营活动，具体经营项目以相关部门批准文件或许可证件为准）一般项目：非金属矿及制品销售；金属矿石销售；选矿；非金属废料和碎屑加工处理；矿物洗选加工；稀土功能材料销售；新型陶瓷材料销售；非金属矿物制品制造。（除依法须经批准的项目外，凭营业执照依法自主开展经营活动）。</w:t>
      </w:r>
    </w:p>
    <w:p>
      <w:pPr>
        <w:widowControl/>
        <w:spacing w:line="500" w:lineRule="exact"/>
        <w:ind w:firstLine="480" w:firstLineChars="200"/>
        <w:rPr>
          <w:rFonts w:ascii="宋体" w:hAnsi="宋体"/>
          <w:bCs/>
          <w:color w:val="auto"/>
          <w:kern w:val="24"/>
          <w:sz w:val="24"/>
          <w:lang w:bidi="en-US"/>
        </w:rPr>
      </w:pPr>
      <w:r>
        <w:rPr>
          <w:rFonts w:hint="eastAsia" w:ascii="宋体" w:hAnsi="宋体"/>
          <w:bCs/>
          <w:color w:val="auto"/>
          <w:kern w:val="24"/>
          <w:sz w:val="24"/>
          <w:lang w:bidi="en-US"/>
        </w:rPr>
        <w:t>矿山原生产规模为3万t/年，未能达到《梅州市矿产资源总体规划（2021－2025年）》所规定的高岭土最低生产规模5万t/年，矿山拟通过技改扩能、升级改造等措施，将生产规模由3万吨/年提高至5万吨/年。</w:t>
      </w:r>
    </w:p>
    <w:p>
      <w:pPr>
        <w:widowControl/>
        <w:spacing w:line="500" w:lineRule="exact"/>
        <w:ind w:firstLine="480" w:firstLineChars="200"/>
        <w:rPr>
          <w:rFonts w:ascii="宋体" w:hAnsi="宋体"/>
          <w:color w:val="auto"/>
          <w:kern w:val="24"/>
          <w:sz w:val="24"/>
        </w:rPr>
      </w:pPr>
      <w:r>
        <w:rPr>
          <w:rFonts w:hint="eastAsia" w:ascii="宋体" w:hAnsi="宋体"/>
          <w:bCs/>
          <w:color w:val="auto"/>
          <w:kern w:val="24"/>
          <w:sz w:val="24"/>
          <w:lang w:bidi="en-US"/>
        </w:rPr>
        <w:t>矿山于2023年9月21日取得兴宁市自然资源局核发的《采矿许可证》，证号：C4414812014087130135349；开采矿种：高岭土，开采方式：露天开采，生产规模：5万吨/年，矿区面积：0.1522km</w:t>
      </w:r>
      <w:r>
        <w:rPr>
          <w:rFonts w:hint="eastAsia" w:ascii="宋体" w:hAnsi="宋体"/>
          <w:bCs/>
          <w:color w:val="auto"/>
          <w:kern w:val="24"/>
          <w:sz w:val="24"/>
          <w:vertAlign w:val="superscript"/>
          <w:lang w:bidi="en-US"/>
        </w:rPr>
        <w:t>2</w:t>
      </w:r>
      <w:r>
        <w:rPr>
          <w:rFonts w:hint="eastAsia" w:ascii="宋体" w:hAnsi="宋体"/>
          <w:bCs/>
          <w:color w:val="auto"/>
          <w:kern w:val="24"/>
          <w:sz w:val="24"/>
          <w:lang w:bidi="en-US"/>
        </w:rPr>
        <w:t>，允许</w:t>
      </w:r>
      <w:r>
        <w:rPr>
          <w:rFonts w:ascii="宋体" w:hAnsi="宋体"/>
          <w:bCs/>
          <w:color w:val="auto"/>
          <w:kern w:val="24"/>
          <w:sz w:val="24"/>
          <w:lang w:bidi="en-US"/>
        </w:rPr>
        <w:t>开采</w:t>
      </w:r>
      <w:r>
        <w:rPr>
          <w:rFonts w:hint="eastAsia" w:ascii="宋体" w:hAnsi="宋体"/>
          <w:bCs/>
          <w:color w:val="auto"/>
          <w:kern w:val="24"/>
          <w:sz w:val="24"/>
          <w:lang w:bidi="en-US"/>
        </w:rPr>
        <w:t>标高+375m～+250m；有效期限2023年8月29日至2028年8月29日。</w:t>
      </w:r>
    </w:p>
    <w:p>
      <w:pPr>
        <w:widowControl/>
        <w:spacing w:line="500" w:lineRule="exact"/>
        <w:ind w:firstLine="480" w:firstLineChars="200"/>
        <w:rPr>
          <w:rFonts w:ascii="宋体" w:hAnsi="宋体"/>
          <w:color w:val="auto"/>
          <w:kern w:val="24"/>
          <w:sz w:val="24"/>
        </w:rPr>
      </w:pPr>
      <w:r>
        <w:rPr>
          <w:rFonts w:hint="eastAsia" w:ascii="宋体" w:hAnsi="宋体"/>
          <w:color w:val="auto"/>
          <w:kern w:val="24"/>
          <w:sz w:val="24"/>
        </w:rPr>
        <w:t>根据《非煤矿矿山企业安全生产许可证实施办法》、《关于加强建设项目安全设施“三同时”工作的通知》、《建设项目安全设施‘三同时’监督管理办法》等要求，该矿山委托江西赣安安全生产科学技术咨询服务中心对其新建项目进行安全预评价。</w:t>
      </w:r>
    </w:p>
    <w:p>
      <w:pPr>
        <w:widowControl/>
        <w:spacing w:line="500" w:lineRule="exact"/>
        <w:ind w:firstLine="480" w:firstLineChars="200"/>
        <w:rPr>
          <w:rFonts w:ascii="宋体" w:hAnsi="宋体"/>
          <w:color w:val="auto"/>
          <w:kern w:val="24"/>
          <w:sz w:val="24"/>
        </w:rPr>
      </w:pPr>
      <w:r>
        <w:rPr>
          <w:rFonts w:hint="eastAsia" w:ascii="宋体" w:hAnsi="宋体"/>
          <w:color w:val="auto"/>
          <w:kern w:val="24"/>
          <w:sz w:val="24"/>
        </w:rPr>
        <w:t>我中心于20</w:t>
      </w:r>
      <w:r>
        <w:rPr>
          <w:rFonts w:ascii="宋体" w:hAnsi="宋体"/>
          <w:color w:val="auto"/>
          <w:kern w:val="24"/>
          <w:sz w:val="24"/>
        </w:rPr>
        <w:t>23</w:t>
      </w:r>
      <w:r>
        <w:rPr>
          <w:rFonts w:hint="eastAsia" w:ascii="宋体" w:hAnsi="宋体"/>
          <w:color w:val="auto"/>
          <w:kern w:val="24"/>
          <w:sz w:val="24"/>
        </w:rPr>
        <w:t>年</w:t>
      </w:r>
      <w:r>
        <w:rPr>
          <w:rFonts w:ascii="宋体" w:hAnsi="宋体"/>
          <w:color w:val="auto"/>
          <w:kern w:val="24"/>
          <w:sz w:val="24"/>
        </w:rPr>
        <w:t>9</w:t>
      </w:r>
      <w:r>
        <w:rPr>
          <w:rFonts w:hint="eastAsia" w:ascii="宋体" w:hAnsi="宋体"/>
          <w:color w:val="auto"/>
          <w:kern w:val="24"/>
          <w:sz w:val="24"/>
        </w:rPr>
        <w:t>月接受委托后，组织采矿、地质、安全工程等相关专业人员组成了评价小组，</w:t>
      </w:r>
      <w:r>
        <w:rPr>
          <w:rFonts w:ascii="宋体" w:hAnsi="宋体"/>
          <w:color w:val="auto"/>
          <w:kern w:val="24"/>
          <w:sz w:val="24"/>
        </w:rPr>
        <w:t>于2023年9月30日</w:t>
      </w:r>
      <w:r>
        <w:rPr>
          <w:rFonts w:hint="eastAsia" w:ascii="宋体" w:hAnsi="宋体"/>
          <w:color w:val="auto"/>
          <w:kern w:val="24"/>
          <w:sz w:val="24"/>
        </w:rPr>
        <w:t>进入现场，</w:t>
      </w:r>
      <w:r>
        <w:rPr>
          <w:rFonts w:ascii="宋体" w:hAnsi="宋体"/>
          <w:color w:val="auto"/>
          <w:kern w:val="24"/>
          <w:sz w:val="24"/>
        </w:rPr>
        <w:t>通过对该建设项目的现场勘察、资料的查阅，经过与建设单位一起收集资料，并对部分安全技术问题</w:t>
      </w:r>
      <w:r>
        <w:rPr>
          <w:rFonts w:hint="eastAsia" w:ascii="宋体" w:hAnsi="宋体"/>
          <w:color w:val="auto"/>
          <w:kern w:val="24"/>
          <w:sz w:val="24"/>
        </w:rPr>
        <w:t>及资料问题</w:t>
      </w:r>
      <w:r>
        <w:rPr>
          <w:rFonts w:ascii="宋体" w:hAnsi="宋体"/>
          <w:color w:val="auto"/>
          <w:kern w:val="24"/>
          <w:sz w:val="24"/>
        </w:rPr>
        <w:t>进行探讨，</w:t>
      </w:r>
      <w:r>
        <w:rPr>
          <w:rFonts w:hint="eastAsia" w:ascii="宋体" w:hAnsi="宋体"/>
          <w:color w:val="auto"/>
          <w:kern w:val="24"/>
          <w:sz w:val="24"/>
        </w:rPr>
        <w:t>并多次与矿方进行沟通，</w:t>
      </w:r>
      <w:r>
        <w:rPr>
          <w:rFonts w:ascii="宋体" w:hAnsi="宋体"/>
          <w:color w:val="auto"/>
          <w:kern w:val="24"/>
          <w:sz w:val="24"/>
        </w:rPr>
        <w:t>在达成共识的基础上进行了安全预评价报告的编制</w:t>
      </w:r>
      <w:r>
        <w:rPr>
          <w:rFonts w:hint="eastAsia" w:ascii="宋体" w:hAnsi="宋体"/>
          <w:color w:val="auto"/>
          <w:kern w:val="24"/>
          <w:sz w:val="24"/>
        </w:rPr>
        <w:t>。</w:t>
      </w:r>
    </w:p>
    <w:p>
      <w:pPr>
        <w:widowControl/>
        <w:spacing w:line="500" w:lineRule="exact"/>
        <w:ind w:firstLine="480" w:firstLineChars="200"/>
        <w:rPr>
          <w:rFonts w:ascii="宋体" w:hAnsi="宋体"/>
          <w:color w:val="auto"/>
          <w:kern w:val="24"/>
          <w:sz w:val="24"/>
        </w:rPr>
      </w:pPr>
      <w:r>
        <w:rPr>
          <w:rFonts w:hint="eastAsia" w:ascii="宋体" w:hAnsi="宋体"/>
          <w:color w:val="auto"/>
          <w:kern w:val="24"/>
          <w:sz w:val="24"/>
        </w:rPr>
        <w:t>本报告根据国家的相关安全生产法律、法规和相关技术标准，分析和预测该项目可行性研究报告所采用的生产工艺、装置、设备、总平面布置和辅助设施以及配套安全设施与相关法律、法规、标准、规范的符合性；运用模拟法和类推原理对企业在建设、生产活动中可能存在的危险有害因素进行了辨识。选用了安全检查表分析和预先危险性分析二种评价方法，进行定性定量的分析评价。针对评价结果提出相应的对策措施和建议，并给出安全预评价结论，为新建项目今后的安全设施设计提供参考依据，同时也可作为省、市、区（县）级应急管理局对该项目“三同时”工作实施监督管理的重要内容之一。</w:t>
      </w:r>
    </w:p>
    <w:p>
      <w:pPr>
        <w:widowControl/>
        <w:spacing w:line="500" w:lineRule="exact"/>
        <w:ind w:firstLine="480" w:firstLineChars="200"/>
        <w:rPr>
          <w:rFonts w:ascii="宋体" w:hAnsi="宋体"/>
          <w:color w:val="auto"/>
          <w:kern w:val="24"/>
          <w:sz w:val="24"/>
        </w:rPr>
      </w:pPr>
      <w:r>
        <w:rPr>
          <w:rFonts w:hint="eastAsia" w:ascii="宋体" w:hAnsi="宋体"/>
          <w:color w:val="auto"/>
          <w:kern w:val="24"/>
          <w:sz w:val="24"/>
        </w:rPr>
        <w:t>本报告依据《安全评价通则》（AQ8001-2007）、《安全预评价导则》（AQ8002-2007）、《国家安全监管总局关于印发金属非金属矿山建设项目安全评价报告编写提纲的通知》（安监总管一[2016</w:t>
      </w:r>
      <w:r>
        <w:rPr>
          <w:rFonts w:ascii="宋体" w:hAnsi="宋体"/>
          <w:color w:val="auto"/>
          <w:kern w:val="24"/>
          <w:sz w:val="24"/>
        </w:rPr>
        <w:t>]</w:t>
      </w:r>
      <w:r>
        <w:rPr>
          <w:rFonts w:hint="eastAsia" w:ascii="宋体" w:hAnsi="宋体"/>
          <w:color w:val="auto"/>
          <w:kern w:val="24"/>
          <w:sz w:val="24"/>
        </w:rPr>
        <w:t>49号）附件2提纲的规定进行编写。</w:t>
      </w:r>
    </w:p>
    <w:p>
      <w:pPr>
        <w:widowControl/>
        <w:spacing w:line="500" w:lineRule="exact"/>
        <w:ind w:firstLine="480" w:firstLineChars="200"/>
        <w:rPr>
          <w:rFonts w:ascii="宋体" w:hAnsi="宋体"/>
          <w:color w:val="auto"/>
          <w:kern w:val="24"/>
          <w:sz w:val="24"/>
        </w:rPr>
      </w:pPr>
      <w:r>
        <w:rPr>
          <w:rFonts w:hint="eastAsia" w:ascii="宋体" w:hAnsi="宋体"/>
          <w:color w:val="auto"/>
          <w:kern w:val="24"/>
          <w:sz w:val="24"/>
        </w:rPr>
        <w:t>在本次安全评价的过程中，我们得到当地应急管理局和业主的大力支持和帮助，使整个评价工作得以顺利开展，在此、表示衷心地感谢。</w:t>
      </w:r>
    </w:p>
    <w:p>
      <w:pPr>
        <w:widowControl/>
        <w:spacing w:line="500" w:lineRule="exact"/>
        <w:jc w:val="center"/>
        <w:rPr>
          <w:rFonts w:ascii="宋体" w:hAnsi="宋体"/>
          <w:color w:val="auto"/>
          <w:sz w:val="32"/>
          <w:szCs w:val="32"/>
        </w:rPr>
      </w:pPr>
      <w:r>
        <w:rPr>
          <w:rFonts w:ascii="宋体" w:hAnsi="宋体"/>
          <w:color w:val="auto"/>
          <w:sz w:val="28"/>
          <w:szCs w:val="28"/>
        </w:rPr>
        <w:br w:type="page"/>
      </w:r>
      <w:r>
        <w:rPr>
          <w:rFonts w:ascii="宋体" w:hAnsi="宋体"/>
          <w:b/>
          <w:color w:val="auto"/>
          <w:sz w:val="32"/>
          <w:szCs w:val="32"/>
        </w:rPr>
        <w:t xml:space="preserve">目 </w:t>
      </w:r>
      <w:r>
        <w:rPr>
          <w:rFonts w:hint="eastAsia" w:ascii="宋体" w:hAnsi="宋体"/>
          <w:b/>
          <w:color w:val="auto"/>
          <w:sz w:val="32"/>
          <w:szCs w:val="32"/>
          <w:lang w:val="en-US" w:eastAsia="zh-CN"/>
        </w:rPr>
        <w:t xml:space="preserve">   </w:t>
      </w:r>
      <w:r>
        <w:rPr>
          <w:rFonts w:ascii="宋体" w:hAnsi="宋体"/>
          <w:b/>
          <w:color w:val="auto"/>
          <w:sz w:val="32"/>
          <w:szCs w:val="32"/>
        </w:rPr>
        <w:t>录</w:t>
      </w:r>
      <w:bookmarkEnd w:id="0"/>
      <w:bookmarkEnd w:id="1"/>
      <w:bookmarkEnd w:id="2"/>
      <w:bookmarkEnd w:id="3"/>
      <w:bookmarkEnd w:id="4"/>
      <w:bookmarkEnd w:id="5"/>
      <w:bookmarkEnd w:id="6"/>
      <w:bookmarkEnd w:id="7"/>
      <w:bookmarkEnd w:id="8"/>
      <w:bookmarkStart w:id="11" w:name="_Toc146159852"/>
      <w:bookmarkStart w:id="12" w:name="_Toc149559778"/>
      <w:bookmarkStart w:id="13" w:name="_Toc158167823"/>
      <w:bookmarkStart w:id="14" w:name="_Toc143420539"/>
      <w:bookmarkStart w:id="15" w:name="_Toc144557961"/>
      <w:bookmarkStart w:id="16" w:name="_Toc158167936"/>
      <w:bookmarkStart w:id="17" w:name="_Toc156811356"/>
    </w:p>
    <w:p>
      <w:pPr>
        <w:pStyle w:val="29"/>
        <w:spacing w:before="0" w:after="0"/>
        <w:rPr>
          <w:rFonts w:hint="eastAsia" w:ascii="宋体" w:eastAsia="宋体"/>
          <w:color w:val="auto"/>
        </w:rPr>
      </w:pPr>
      <w:r>
        <w:rPr>
          <w:rFonts w:hint="eastAsia" w:ascii="宋体" w:eastAsia="宋体"/>
          <w:color w:val="auto"/>
        </w:rPr>
        <w:fldChar w:fldCharType="begin"/>
      </w:r>
      <w:r>
        <w:rPr>
          <w:rFonts w:hint="eastAsia" w:ascii="宋体" w:eastAsia="宋体"/>
          <w:color w:val="auto"/>
        </w:rPr>
        <w:instrText xml:space="preserve"> TOC \o "1-2" \h \z \u </w:instrText>
      </w:r>
      <w:r>
        <w:rPr>
          <w:rFonts w:hint="eastAsia" w:ascii="宋体" w:eastAsia="宋体"/>
          <w:color w:val="auto"/>
        </w:rPr>
        <w:fldChar w:fldCharType="separate"/>
      </w:r>
    </w:p>
    <w:p>
      <w:pPr>
        <w:pStyle w:val="29"/>
        <w:keepNext w:val="0"/>
        <w:keepLines w:val="0"/>
        <w:pageBreakBefore w:val="0"/>
        <w:widowControl w:val="0"/>
        <w:kinsoku/>
        <w:wordWrap/>
        <w:overflowPunct/>
        <w:topLinePunct w:val="0"/>
        <w:autoSpaceDE/>
        <w:autoSpaceDN/>
        <w:bidi w:val="0"/>
        <w:adjustRightInd/>
        <w:snapToGrid/>
        <w:spacing w:before="0" w:after="0" w:line="440" w:lineRule="exact"/>
        <w:textAlignment w:val="auto"/>
        <w:rPr>
          <w:rFonts w:ascii="宋体" w:eastAsia="宋体"/>
          <w:b/>
          <w:bCs w:val="0"/>
          <w:caps w:val="0"/>
          <w:color w:val="auto"/>
          <w:sz w:val="24"/>
          <w:szCs w:val="24"/>
        </w:rPr>
      </w:pPr>
      <w:r>
        <w:rPr>
          <w:b/>
          <w:bCs w:val="0"/>
          <w:color w:val="auto"/>
          <w:sz w:val="24"/>
          <w:szCs w:val="24"/>
        </w:rPr>
        <w:fldChar w:fldCharType="begin"/>
      </w:r>
      <w:r>
        <w:rPr>
          <w:b/>
          <w:bCs w:val="0"/>
          <w:color w:val="auto"/>
          <w:sz w:val="24"/>
          <w:szCs w:val="24"/>
        </w:rPr>
        <w:instrText xml:space="preserve"> HYPERLINK \l "_Toc150262766" </w:instrText>
      </w:r>
      <w:r>
        <w:rPr>
          <w:b/>
          <w:bCs w:val="0"/>
          <w:color w:val="auto"/>
          <w:sz w:val="24"/>
          <w:szCs w:val="24"/>
        </w:rPr>
        <w:fldChar w:fldCharType="separate"/>
      </w:r>
      <w:r>
        <w:rPr>
          <w:rStyle w:val="47"/>
          <w:rFonts w:ascii="宋体" w:eastAsia="宋体"/>
          <w:b/>
          <w:bCs w:val="0"/>
          <w:color w:val="auto"/>
          <w:kern w:val="30"/>
          <w:sz w:val="24"/>
          <w:szCs w:val="24"/>
        </w:rPr>
        <w:t>1评价对象与依据</w:t>
      </w:r>
      <w:r>
        <w:rPr>
          <w:rFonts w:ascii="宋体" w:eastAsia="宋体"/>
          <w:b/>
          <w:bCs w:val="0"/>
          <w:color w:val="auto"/>
          <w:sz w:val="24"/>
          <w:szCs w:val="24"/>
        </w:rPr>
        <w:tab/>
      </w:r>
      <w:r>
        <w:rPr>
          <w:rFonts w:ascii="宋体" w:eastAsia="宋体"/>
          <w:b/>
          <w:bCs w:val="0"/>
          <w:color w:val="auto"/>
          <w:sz w:val="24"/>
          <w:szCs w:val="24"/>
        </w:rPr>
        <w:fldChar w:fldCharType="begin"/>
      </w:r>
      <w:r>
        <w:rPr>
          <w:rFonts w:ascii="宋体" w:eastAsia="宋体"/>
          <w:b/>
          <w:bCs w:val="0"/>
          <w:color w:val="auto"/>
          <w:sz w:val="24"/>
          <w:szCs w:val="24"/>
        </w:rPr>
        <w:instrText xml:space="preserve"> PAGEREF _Toc150262766 \h </w:instrText>
      </w:r>
      <w:r>
        <w:rPr>
          <w:rFonts w:ascii="宋体" w:eastAsia="宋体"/>
          <w:b/>
          <w:bCs w:val="0"/>
          <w:color w:val="auto"/>
          <w:sz w:val="24"/>
          <w:szCs w:val="24"/>
        </w:rPr>
        <w:fldChar w:fldCharType="separate"/>
      </w:r>
      <w:r>
        <w:rPr>
          <w:rFonts w:ascii="宋体" w:eastAsia="宋体"/>
          <w:b/>
          <w:bCs w:val="0"/>
          <w:color w:val="auto"/>
          <w:sz w:val="24"/>
          <w:szCs w:val="24"/>
        </w:rPr>
        <w:t>1</w:t>
      </w:r>
      <w:r>
        <w:rPr>
          <w:rFonts w:ascii="宋体" w:eastAsia="宋体"/>
          <w:b/>
          <w:bCs w:val="0"/>
          <w:color w:val="auto"/>
          <w:sz w:val="24"/>
          <w:szCs w:val="24"/>
        </w:rPr>
        <w:fldChar w:fldCharType="end"/>
      </w:r>
      <w:r>
        <w:rPr>
          <w:rFonts w:ascii="宋体" w:eastAsia="宋体"/>
          <w:b/>
          <w:bCs w:val="0"/>
          <w:color w:val="auto"/>
          <w:sz w:val="24"/>
          <w:szCs w:val="24"/>
        </w:rPr>
        <w:fldChar w:fldCharType="end"/>
      </w:r>
    </w:p>
    <w:p>
      <w:pPr>
        <w:pStyle w:val="33"/>
        <w:keepNext w:val="0"/>
        <w:keepLines w:val="0"/>
        <w:pageBreakBefore w:val="0"/>
        <w:widowControl w:val="0"/>
        <w:tabs>
          <w:tab w:val="right" w:leader="dot" w:pos="9174"/>
        </w:tabs>
        <w:kinsoku/>
        <w:wordWrap/>
        <w:overflowPunct/>
        <w:topLinePunct w:val="0"/>
        <w:autoSpaceDE/>
        <w:autoSpaceDN/>
        <w:bidi w:val="0"/>
        <w:adjustRightInd/>
        <w:snapToGrid/>
        <w:spacing w:line="440" w:lineRule="exact"/>
        <w:textAlignment w:val="auto"/>
        <w:rPr>
          <w:rFonts w:ascii="宋体" w:hAnsi="宋体"/>
          <w:b/>
          <w:bCs w:val="0"/>
          <w:smallCaps w:val="0"/>
          <w:color w:val="auto"/>
          <w:sz w:val="24"/>
          <w:szCs w:val="24"/>
        </w:rPr>
      </w:pPr>
      <w:r>
        <w:rPr>
          <w:b/>
          <w:bCs w:val="0"/>
          <w:color w:val="auto"/>
          <w:sz w:val="24"/>
          <w:szCs w:val="24"/>
        </w:rPr>
        <w:fldChar w:fldCharType="begin"/>
      </w:r>
      <w:r>
        <w:rPr>
          <w:b/>
          <w:bCs w:val="0"/>
          <w:color w:val="auto"/>
          <w:sz w:val="24"/>
          <w:szCs w:val="24"/>
        </w:rPr>
        <w:instrText xml:space="preserve"> HYPERLINK \l "_Toc150262767" </w:instrText>
      </w:r>
      <w:r>
        <w:rPr>
          <w:b/>
          <w:bCs w:val="0"/>
          <w:color w:val="auto"/>
          <w:sz w:val="24"/>
          <w:szCs w:val="24"/>
        </w:rPr>
        <w:fldChar w:fldCharType="separate"/>
      </w:r>
      <w:r>
        <w:rPr>
          <w:rStyle w:val="47"/>
          <w:rFonts w:ascii="宋体" w:hAnsi="宋体"/>
          <w:b/>
          <w:bCs w:val="0"/>
          <w:color w:val="auto"/>
          <w:kern w:val="28"/>
          <w:sz w:val="24"/>
          <w:szCs w:val="24"/>
        </w:rPr>
        <w:t>1.1评价对象和范围</w:t>
      </w:r>
      <w:r>
        <w:rPr>
          <w:rFonts w:ascii="宋体" w:hAnsi="宋体"/>
          <w:b/>
          <w:bCs w:val="0"/>
          <w:color w:val="auto"/>
          <w:sz w:val="24"/>
          <w:szCs w:val="24"/>
        </w:rPr>
        <w:tab/>
      </w:r>
      <w:r>
        <w:rPr>
          <w:rFonts w:ascii="宋体" w:hAnsi="宋体"/>
          <w:b/>
          <w:bCs w:val="0"/>
          <w:color w:val="auto"/>
          <w:sz w:val="24"/>
          <w:szCs w:val="24"/>
        </w:rPr>
        <w:fldChar w:fldCharType="begin"/>
      </w:r>
      <w:r>
        <w:rPr>
          <w:rFonts w:ascii="宋体" w:hAnsi="宋体"/>
          <w:b/>
          <w:bCs w:val="0"/>
          <w:color w:val="auto"/>
          <w:sz w:val="24"/>
          <w:szCs w:val="24"/>
        </w:rPr>
        <w:instrText xml:space="preserve"> PAGEREF _Toc150262767 \h </w:instrText>
      </w:r>
      <w:r>
        <w:rPr>
          <w:rFonts w:ascii="宋体" w:hAnsi="宋体"/>
          <w:b/>
          <w:bCs w:val="0"/>
          <w:color w:val="auto"/>
          <w:sz w:val="24"/>
          <w:szCs w:val="24"/>
        </w:rPr>
        <w:fldChar w:fldCharType="separate"/>
      </w:r>
      <w:r>
        <w:rPr>
          <w:rFonts w:ascii="宋体" w:hAnsi="宋体"/>
          <w:b/>
          <w:bCs w:val="0"/>
          <w:color w:val="auto"/>
          <w:sz w:val="24"/>
          <w:szCs w:val="24"/>
        </w:rPr>
        <w:t>1</w:t>
      </w:r>
      <w:r>
        <w:rPr>
          <w:rFonts w:ascii="宋体" w:hAnsi="宋体"/>
          <w:b/>
          <w:bCs w:val="0"/>
          <w:color w:val="auto"/>
          <w:sz w:val="24"/>
          <w:szCs w:val="24"/>
        </w:rPr>
        <w:fldChar w:fldCharType="end"/>
      </w:r>
      <w:r>
        <w:rPr>
          <w:rFonts w:ascii="宋体" w:hAnsi="宋体"/>
          <w:b/>
          <w:bCs w:val="0"/>
          <w:color w:val="auto"/>
          <w:sz w:val="24"/>
          <w:szCs w:val="24"/>
        </w:rPr>
        <w:fldChar w:fldCharType="end"/>
      </w:r>
    </w:p>
    <w:p>
      <w:pPr>
        <w:pStyle w:val="33"/>
        <w:keepNext w:val="0"/>
        <w:keepLines w:val="0"/>
        <w:pageBreakBefore w:val="0"/>
        <w:widowControl w:val="0"/>
        <w:tabs>
          <w:tab w:val="right" w:leader="dot" w:pos="9174"/>
        </w:tabs>
        <w:kinsoku/>
        <w:wordWrap/>
        <w:overflowPunct/>
        <w:topLinePunct w:val="0"/>
        <w:autoSpaceDE/>
        <w:autoSpaceDN/>
        <w:bidi w:val="0"/>
        <w:adjustRightInd/>
        <w:snapToGrid/>
        <w:spacing w:line="440" w:lineRule="exact"/>
        <w:textAlignment w:val="auto"/>
        <w:rPr>
          <w:rFonts w:ascii="宋体" w:hAnsi="宋体"/>
          <w:b/>
          <w:bCs w:val="0"/>
          <w:smallCaps w:val="0"/>
          <w:color w:val="auto"/>
          <w:sz w:val="24"/>
          <w:szCs w:val="24"/>
        </w:rPr>
      </w:pPr>
      <w:r>
        <w:rPr>
          <w:b/>
          <w:bCs w:val="0"/>
          <w:color w:val="auto"/>
          <w:sz w:val="24"/>
          <w:szCs w:val="24"/>
        </w:rPr>
        <w:fldChar w:fldCharType="begin"/>
      </w:r>
      <w:r>
        <w:rPr>
          <w:b/>
          <w:bCs w:val="0"/>
          <w:color w:val="auto"/>
          <w:sz w:val="24"/>
          <w:szCs w:val="24"/>
        </w:rPr>
        <w:instrText xml:space="preserve"> HYPERLINK \l "_Toc150262768" </w:instrText>
      </w:r>
      <w:r>
        <w:rPr>
          <w:b/>
          <w:bCs w:val="0"/>
          <w:color w:val="auto"/>
          <w:sz w:val="24"/>
          <w:szCs w:val="24"/>
        </w:rPr>
        <w:fldChar w:fldCharType="separate"/>
      </w:r>
      <w:r>
        <w:rPr>
          <w:rStyle w:val="47"/>
          <w:rFonts w:ascii="宋体" w:hAnsi="宋体"/>
          <w:b/>
          <w:bCs w:val="0"/>
          <w:color w:val="auto"/>
          <w:kern w:val="28"/>
          <w:sz w:val="24"/>
          <w:szCs w:val="24"/>
        </w:rPr>
        <w:t>1.2评价依据</w:t>
      </w:r>
      <w:r>
        <w:rPr>
          <w:rFonts w:ascii="宋体" w:hAnsi="宋体"/>
          <w:b/>
          <w:bCs w:val="0"/>
          <w:color w:val="auto"/>
          <w:sz w:val="24"/>
          <w:szCs w:val="24"/>
        </w:rPr>
        <w:tab/>
      </w:r>
      <w:r>
        <w:rPr>
          <w:rFonts w:ascii="宋体" w:hAnsi="宋体"/>
          <w:b/>
          <w:bCs w:val="0"/>
          <w:color w:val="auto"/>
          <w:sz w:val="24"/>
          <w:szCs w:val="24"/>
        </w:rPr>
        <w:fldChar w:fldCharType="begin"/>
      </w:r>
      <w:r>
        <w:rPr>
          <w:rFonts w:ascii="宋体" w:hAnsi="宋体"/>
          <w:b/>
          <w:bCs w:val="0"/>
          <w:color w:val="auto"/>
          <w:sz w:val="24"/>
          <w:szCs w:val="24"/>
        </w:rPr>
        <w:instrText xml:space="preserve"> PAGEREF _Toc150262768 \h </w:instrText>
      </w:r>
      <w:r>
        <w:rPr>
          <w:rFonts w:ascii="宋体" w:hAnsi="宋体"/>
          <w:b/>
          <w:bCs w:val="0"/>
          <w:color w:val="auto"/>
          <w:sz w:val="24"/>
          <w:szCs w:val="24"/>
        </w:rPr>
        <w:fldChar w:fldCharType="separate"/>
      </w:r>
      <w:r>
        <w:rPr>
          <w:rFonts w:ascii="宋体" w:hAnsi="宋体"/>
          <w:b/>
          <w:bCs w:val="0"/>
          <w:color w:val="auto"/>
          <w:sz w:val="24"/>
          <w:szCs w:val="24"/>
        </w:rPr>
        <w:t>1</w:t>
      </w:r>
      <w:r>
        <w:rPr>
          <w:rFonts w:ascii="宋体" w:hAnsi="宋体"/>
          <w:b/>
          <w:bCs w:val="0"/>
          <w:color w:val="auto"/>
          <w:sz w:val="24"/>
          <w:szCs w:val="24"/>
        </w:rPr>
        <w:fldChar w:fldCharType="end"/>
      </w:r>
      <w:r>
        <w:rPr>
          <w:rFonts w:ascii="宋体" w:hAnsi="宋体"/>
          <w:b/>
          <w:bCs w:val="0"/>
          <w:color w:val="auto"/>
          <w:sz w:val="24"/>
          <w:szCs w:val="24"/>
        </w:rPr>
        <w:fldChar w:fldCharType="end"/>
      </w:r>
    </w:p>
    <w:p>
      <w:pPr>
        <w:pStyle w:val="29"/>
        <w:keepNext w:val="0"/>
        <w:keepLines w:val="0"/>
        <w:pageBreakBefore w:val="0"/>
        <w:widowControl w:val="0"/>
        <w:kinsoku/>
        <w:wordWrap/>
        <w:overflowPunct/>
        <w:topLinePunct w:val="0"/>
        <w:autoSpaceDE/>
        <w:autoSpaceDN/>
        <w:bidi w:val="0"/>
        <w:adjustRightInd/>
        <w:snapToGrid/>
        <w:spacing w:before="0" w:after="0" w:line="440" w:lineRule="exact"/>
        <w:textAlignment w:val="auto"/>
        <w:rPr>
          <w:rFonts w:ascii="宋体" w:eastAsia="宋体"/>
          <w:b/>
          <w:bCs w:val="0"/>
          <w:caps w:val="0"/>
          <w:color w:val="auto"/>
          <w:sz w:val="24"/>
          <w:szCs w:val="24"/>
        </w:rPr>
      </w:pPr>
      <w:r>
        <w:rPr>
          <w:b/>
          <w:bCs w:val="0"/>
          <w:color w:val="auto"/>
          <w:sz w:val="24"/>
          <w:szCs w:val="24"/>
        </w:rPr>
        <w:fldChar w:fldCharType="begin"/>
      </w:r>
      <w:r>
        <w:rPr>
          <w:b/>
          <w:bCs w:val="0"/>
          <w:color w:val="auto"/>
          <w:sz w:val="24"/>
          <w:szCs w:val="24"/>
        </w:rPr>
        <w:instrText xml:space="preserve"> HYPERLINK \l "_Toc150262769" </w:instrText>
      </w:r>
      <w:r>
        <w:rPr>
          <w:b/>
          <w:bCs w:val="0"/>
          <w:color w:val="auto"/>
          <w:sz w:val="24"/>
          <w:szCs w:val="24"/>
        </w:rPr>
        <w:fldChar w:fldCharType="separate"/>
      </w:r>
      <w:r>
        <w:rPr>
          <w:rStyle w:val="47"/>
          <w:rFonts w:ascii="宋体" w:eastAsia="宋体"/>
          <w:b/>
          <w:bCs w:val="0"/>
          <w:color w:val="auto"/>
          <w:kern w:val="30"/>
          <w:sz w:val="24"/>
          <w:szCs w:val="24"/>
        </w:rPr>
        <w:t>2建设项目概述</w:t>
      </w:r>
      <w:r>
        <w:rPr>
          <w:rFonts w:ascii="宋体" w:eastAsia="宋体"/>
          <w:b/>
          <w:bCs w:val="0"/>
          <w:color w:val="auto"/>
          <w:sz w:val="24"/>
          <w:szCs w:val="24"/>
        </w:rPr>
        <w:tab/>
      </w:r>
      <w:r>
        <w:rPr>
          <w:rFonts w:ascii="宋体" w:eastAsia="宋体"/>
          <w:b/>
          <w:bCs w:val="0"/>
          <w:color w:val="auto"/>
          <w:sz w:val="24"/>
          <w:szCs w:val="24"/>
        </w:rPr>
        <w:fldChar w:fldCharType="begin"/>
      </w:r>
      <w:r>
        <w:rPr>
          <w:rFonts w:ascii="宋体" w:eastAsia="宋体"/>
          <w:b/>
          <w:bCs w:val="0"/>
          <w:color w:val="auto"/>
          <w:sz w:val="24"/>
          <w:szCs w:val="24"/>
        </w:rPr>
        <w:instrText xml:space="preserve"> PAGEREF _Toc150262769 \h </w:instrText>
      </w:r>
      <w:r>
        <w:rPr>
          <w:rFonts w:ascii="宋体" w:eastAsia="宋体"/>
          <w:b/>
          <w:bCs w:val="0"/>
          <w:color w:val="auto"/>
          <w:sz w:val="24"/>
          <w:szCs w:val="24"/>
        </w:rPr>
        <w:fldChar w:fldCharType="separate"/>
      </w:r>
      <w:r>
        <w:rPr>
          <w:rFonts w:ascii="宋体" w:eastAsia="宋体"/>
          <w:b/>
          <w:bCs w:val="0"/>
          <w:color w:val="auto"/>
          <w:sz w:val="24"/>
          <w:szCs w:val="24"/>
        </w:rPr>
        <w:t>9</w:t>
      </w:r>
      <w:r>
        <w:rPr>
          <w:rFonts w:ascii="宋体" w:eastAsia="宋体"/>
          <w:b/>
          <w:bCs w:val="0"/>
          <w:color w:val="auto"/>
          <w:sz w:val="24"/>
          <w:szCs w:val="24"/>
        </w:rPr>
        <w:fldChar w:fldCharType="end"/>
      </w:r>
      <w:r>
        <w:rPr>
          <w:rFonts w:ascii="宋体" w:eastAsia="宋体"/>
          <w:b/>
          <w:bCs w:val="0"/>
          <w:color w:val="auto"/>
          <w:sz w:val="24"/>
          <w:szCs w:val="24"/>
        </w:rPr>
        <w:fldChar w:fldCharType="end"/>
      </w:r>
    </w:p>
    <w:p>
      <w:pPr>
        <w:pStyle w:val="33"/>
        <w:keepNext w:val="0"/>
        <w:keepLines w:val="0"/>
        <w:pageBreakBefore w:val="0"/>
        <w:widowControl w:val="0"/>
        <w:tabs>
          <w:tab w:val="right" w:leader="dot" w:pos="9174"/>
        </w:tabs>
        <w:kinsoku/>
        <w:wordWrap/>
        <w:overflowPunct/>
        <w:topLinePunct w:val="0"/>
        <w:autoSpaceDE/>
        <w:autoSpaceDN/>
        <w:bidi w:val="0"/>
        <w:adjustRightInd/>
        <w:snapToGrid/>
        <w:spacing w:line="440" w:lineRule="exact"/>
        <w:textAlignment w:val="auto"/>
        <w:rPr>
          <w:rFonts w:ascii="宋体" w:hAnsi="宋体"/>
          <w:b/>
          <w:bCs w:val="0"/>
          <w:smallCaps w:val="0"/>
          <w:color w:val="auto"/>
          <w:sz w:val="24"/>
          <w:szCs w:val="24"/>
        </w:rPr>
      </w:pPr>
      <w:r>
        <w:rPr>
          <w:b/>
          <w:bCs w:val="0"/>
          <w:color w:val="auto"/>
          <w:sz w:val="24"/>
          <w:szCs w:val="24"/>
        </w:rPr>
        <w:fldChar w:fldCharType="begin"/>
      </w:r>
      <w:r>
        <w:rPr>
          <w:b/>
          <w:bCs w:val="0"/>
          <w:color w:val="auto"/>
          <w:sz w:val="24"/>
          <w:szCs w:val="24"/>
        </w:rPr>
        <w:instrText xml:space="preserve"> HYPERLINK \l "_Toc150262770" </w:instrText>
      </w:r>
      <w:r>
        <w:rPr>
          <w:b/>
          <w:bCs w:val="0"/>
          <w:color w:val="auto"/>
          <w:sz w:val="24"/>
          <w:szCs w:val="24"/>
        </w:rPr>
        <w:fldChar w:fldCharType="separate"/>
      </w:r>
      <w:r>
        <w:rPr>
          <w:rStyle w:val="47"/>
          <w:rFonts w:ascii="宋体" w:hAnsi="宋体"/>
          <w:b/>
          <w:bCs w:val="0"/>
          <w:color w:val="auto"/>
          <w:kern w:val="28"/>
          <w:sz w:val="24"/>
          <w:szCs w:val="24"/>
        </w:rPr>
        <w:t>2.1建设单位概况</w:t>
      </w:r>
      <w:r>
        <w:rPr>
          <w:rFonts w:ascii="宋体" w:hAnsi="宋体"/>
          <w:b/>
          <w:bCs w:val="0"/>
          <w:color w:val="auto"/>
          <w:sz w:val="24"/>
          <w:szCs w:val="24"/>
        </w:rPr>
        <w:tab/>
      </w:r>
      <w:r>
        <w:rPr>
          <w:rFonts w:ascii="宋体" w:hAnsi="宋体"/>
          <w:b/>
          <w:bCs w:val="0"/>
          <w:color w:val="auto"/>
          <w:sz w:val="24"/>
          <w:szCs w:val="24"/>
        </w:rPr>
        <w:fldChar w:fldCharType="begin"/>
      </w:r>
      <w:r>
        <w:rPr>
          <w:rFonts w:ascii="宋体" w:hAnsi="宋体"/>
          <w:b/>
          <w:bCs w:val="0"/>
          <w:color w:val="auto"/>
          <w:sz w:val="24"/>
          <w:szCs w:val="24"/>
        </w:rPr>
        <w:instrText xml:space="preserve"> PAGEREF _Toc150262770 \h </w:instrText>
      </w:r>
      <w:r>
        <w:rPr>
          <w:rFonts w:ascii="宋体" w:hAnsi="宋体"/>
          <w:b/>
          <w:bCs w:val="0"/>
          <w:color w:val="auto"/>
          <w:sz w:val="24"/>
          <w:szCs w:val="24"/>
        </w:rPr>
        <w:fldChar w:fldCharType="separate"/>
      </w:r>
      <w:r>
        <w:rPr>
          <w:rFonts w:ascii="宋体" w:hAnsi="宋体"/>
          <w:b/>
          <w:bCs w:val="0"/>
          <w:color w:val="auto"/>
          <w:sz w:val="24"/>
          <w:szCs w:val="24"/>
        </w:rPr>
        <w:t>9</w:t>
      </w:r>
      <w:r>
        <w:rPr>
          <w:rFonts w:ascii="宋体" w:hAnsi="宋体"/>
          <w:b/>
          <w:bCs w:val="0"/>
          <w:color w:val="auto"/>
          <w:sz w:val="24"/>
          <w:szCs w:val="24"/>
        </w:rPr>
        <w:fldChar w:fldCharType="end"/>
      </w:r>
      <w:r>
        <w:rPr>
          <w:rFonts w:ascii="宋体" w:hAnsi="宋体"/>
          <w:b/>
          <w:bCs w:val="0"/>
          <w:color w:val="auto"/>
          <w:sz w:val="24"/>
          <w:szCs w:val="24"/>
        </w:rPr>
        <w:fldChar w:fldCharType="end"/>
      </w:r>
    </w:p>
    <w:p>
      <w:pPr>
        <w:pStyle w:val="33"/>
        <w:keepNext w:val="0"/>
        <w:keepLines w:val="0"/>
        <w:pageBreakBefore w:val="0"/>
        <w:widowControl w:val="0"/>
        <w:tabs>
          <w:tab w:val="right" w:leader="dot" w:pos="9174"/>
        </w:tabs>
        <w:kinsoku/>
        <w:wordWrap/>
        <w:overflowPunct/>
        <w:topLinePunct w:val="0"/>
        <w:autoSpaceDE/>
        <w:autoSpaceDN/>
        <w:bidi w:val="0"/>
        <w:adjustRightInd/>
        <w:snapToGrid/>
        <w:spacing w:line="440" w:lineRule="exact"/>
        <w:textAlignment w:val="auto"/>
        <w:rPr>
          <w:rFonts w:ascii="宋体" w:hAnsi="宋体"/>
          <w:b/>
          <w:bCs w:val="0"/>
          <w:smallCaps w:val="0"/>
          <w:color w:val="auto"/>
          <w:sz w:val="24"/>
          <w:szCs w:val="24"/>
        </w:rPr>
      </w:pPr>
      <w:r>
        <w:rPr>
          <w:b/>
          <w:bCs w:val="0"/>
          <w:color w:val="auto"/>
          <w:sz w:val="24"/>
          <w:szCs w:val="24"/>
        </w:rPr>
        <w:fldChar w:fldCharType="begin"/>
      </w:r>
      <w:r>
        <w:rPr>
          <w:b/>
          <w:bCs w:val="0"/>
          <w:color w:val="auto"/>
          <w:sz w:val="24"/>
          <w:szCs w:val="24"/>
        </w:rPr>
        <w:instrText xml:space="preserve"> HYPERLINK \l "_Toc150262771" </w:instrText>
      </w:r>
      <w:r>
        <w:rPr>
          <w:b/>
          <w:bCs w:val="0"/>
          <w:color w:val="auto"/>
          <w:sz w:val="24"/>
          <w:szCs w:val="24"/>
        </w:rPr>
        <w:fldChar w:fldCharType="separate"/>
      </w:r>
      <w:r>
        <w:rPr>
          <w:rStyle w:val="47"/>
          <w:rFonts w:ascii="宋体" w:hAnsi="宋体"/>
          <w:b/>
          <w:bCs w:val="0"/>
          <w:color w:val="auto"/>
          <w:kern w:val="28"/>
          <w:sz w:val="24"/>
          <w:szCs w:val="24"/>
        </w:rPr>
        <w:t>2.2自然环境概况</w:t>
      </w:r>
      <w:r>
        <w:rPr>
          <w:rFonts w:ascii="宋体" w:hAnsi="宋体"/>
          <w:b/>
          <w:bCs w:val="0"/>
          <w:color w:val="auto"/>
          <w:sz w:val="24"/>
          <w:szCs w:val="24"/>
        </w:rPr>
        <w:tab/>
      </w:r>
      <w:r>
        <w:rPr>
          <w:rFonts w:ascii="宋体" w:hAnsi="宋体"/>
          <w:b/>
          <w:bCs w:val="0"/>
          <w:color w:val="auto"/>
          <w:sz w:val="24"/>
          <w:szCs w:val="24"/>
        </w:rPr>
        <w:fldChar w:fldCharType="begin"/>
      </w:r>
      <w:r>
        <w:rPr>
          <w:rFonts w:ascii="宋体" w:hAnsi="宋体"/>
          <w:b/>
          <w:bCs w:val="0"/>
          <w:color w:val="auto"/>
          <w:sz w:val="24"/>
          <w:szCs w:val="24"/>
        </w:rPr>
        <w:instrText xml:space="preserve"> PAGEREF _Toc150262771 \h </w:instrText>
      </w:r>
      <w:r>
        <w:rPr>
          <w:rFonts w:ascii="宋体" w:hAnsi="宋体"/>
          <w:b/>
          <w:bCs w:val="0"/>
          <w:color w:val="auto"/>
          <w:sz w:val="24"/>
          <w:szCs w:val="24"/>
        </w:rPr>
        <w:fldChar w:fldCharType="separate"/>
      </w:r>
      <w:r>
        <w:rPr>
          <w:rFonts w:ascii="宋体" w:hAnsi="宋体"/>
          <w:b/>
          <w:bCs w:val="0"/>
          <w:color w:val="auto"/>
          <w:sz w:val="24"/>
          <w:szCs w:val="24"/>
        </w:rPr>
        <w:t>10</w:t>
      </w:r>
      <w:r>
        <w:rPr>
          <w:rFonts w:ascii="宋体" w:hAnsi="宋体"/>
          <w:b/>
          <w:bCs w:val="0"/>
          <w:color w:val="auto"/>
          <w:sz w:val="24"/>
          <w:szCs w:val="24"/>
        </w:rPr>
        <w:fldChar w:fldCharType="end"/>
      </w:r>
      <w:r>
        <w:rPr>
          <w:rFonts w:ascii="宋体" w:hAnsi="宋体"/>
          <w:b/>
          <w:bCs w:val="0"/>
          <w:color w:val="auto"/>
          <w:sz w:val="24"/>
          <w:szCs w:val="24"/>
        </w:rPr>
        <w:fldChar w:fldCharType="end"/>
      </w:r>
    </w:p>
    <w:p>
      <w:pPr>
        <w:pStyle w:val="33"/>
        <w:keepNext w:val="0"/>
        <w:keepLines w:val="0"/>
        <w:pageBreakBefore w:val="0"/>
        <w:widowControl w:val="0"/>
        <w:tabs>
          <w:tab w:val="right" w:leader="dot" w:pos="9174"/>
        </w:tabs>
        <w:kinsoku/>
        <w:wordWrap/>
        <w:overflowPunct/>
        <w:topLinePunct w:val="0"/>
        <w:autoSpaceDE/>
        <w:autoSpaceDN/>
        <w:bidi w:val="0"/>
        <w:adjustRightInd/>
        <w:snapToGrid/>
        <w:spacing w:line="440" w:lineRule="exact"/>
        <w:textAlignment w:val="auto"/>
        <w:rPr>
          <w:rFonts w:ascii="宋体" w:hAnsi="宋体"/>
          <w:b/>
          <w:bCs w:val="0"/>
          <w:smallCaps w:val="0"/>
          <w:color w:val="auto"/>
          <w:sz w:val="24"/>
          <w:szCs w:val="24"/>
        </w:rPr>
      </w:pPr>
      <w:r>
        <w:rPr>
          <w:b/>
          <w:bCs w:val="0"/>
          <w:color w:val="auto"/>
          <w:sz w:val="24"/>
          <w:szCs w:val="24"/>
        </w:rPr>
        <w:fldChar w:fldCharType="begin"/>
      </w:r>
      <w:r>
        <w:rPr>
          <w:b/>
          <w:bCs w:val="0"/>
          <w:color w:val="auto"/>
          <w:sz w:val="24"/>
          <w:szCs w:val="24"/>
        </w:rPr>
        <w:instrText xml:space="preserve"> HYPERLINK \l "_Toc150262772" </w:instrText>
      </w:r>
      <w:r>
        <w:rPr>
          <w:b/>
          <w:bCs w:val="0"/>
          <w:color w:val="auto"/>
          <w:sz w:val="24"/>
          <w:szCs w:val="24"/>
        </w:rPr>
        <w:fldChar w:fldCharType="separate"/>
      </w:r>
      <w:r>
        <w:rPr>
          <w:rStyle w:val="47"/>
          <w:rFonts w:ascii="宋体" w:hAnsi="宋体"/>
          <w:b/>
          <w:bCs w:val="0"/>
          <w:color w:val="auto"/>
          <w:kern w:val="28"/>
          <w:sz w:val="24"/>
          <w:szCs w:val="24"/>
        </w:rPr>
        <w:t>2.3地质概况</w:t>
      </w:r>
      <w:r>
        <w:rPr>
          <w:rFonts w:ascii="宋体" w:hAnsi="宋体"/>
          <w:b/>
          <w:bCs w:val="0"/>
          <w:color w:val="auto"/>
          <w:sz w:val="24"/>
          <w:szCs w:val="24"/>
        </w:rPr>
        <w:tab/>
      </w:r>
      <w:r>
        <w:rPr>
          <w:rFonts w:ascii="宋体" w:hAnsi="宋体"/>
          <w:b/>
          <w:bCs w:val="0"/>
          <w:color w:val="auto"/>
          <w:sz w:val="24"/>
          <w:szCs w:val="24"/>
        </w:rPr>
        <w:fldChar w:fldCharType="begin"/>
      </w:r>
      <w:r>
        <w:rPr>
          <w:rFonts w:ascii="宋体" w:hAnsi="宋体"/>
          <w:b/>
          <w:bCs w:val="0"/>
          <w:color w:val="auto"/>
          <w:sz w:val="24"/>
          <w:szCs w:val="24"/>
        </w:rPr>
        <w:instrText xml:space="preserve"> PAGEREF _Toc150262772 \h </w:instrText>
      </w:r>
      <w:r>
        <w:rPr>
          <w:rFonts w:ascii="宋体" w:hAnsi="宋体"/>
          <w:b/>
          <w:bCs w:val="0"/>
          <w:color w:val="auto"/>
          <w:sz w:val="24"/>
          <w:szCs w:val="24"/>
        </w:rPr>
        <w:fldChar w:fldCharType="separate"/>
      </w:r>
      <w:r>
        <w:rPr>
          <w:rFonts w:ascii="宋体" w:hAnsi="宋体"/>
          <w:b/>
          <w:bCs w:val="0"/>
          <w:color w:val="auto"/>
          <w:sz w:val="24"/>
          <w:szCs w:val="24"/>
        </w:rPr>
        <w:t>11</w:t>
      </w:r>
      <w:r>
        <w:rPr>
          <w:rFonts w:ascii="宋体" w:hAnsi="宋体"/>
          <w:b/>
          <w:bCs w:val="0"/>
          <w:color w:val="auto"/>
          <w:sz w:val="24"/>
          <w:szCs w:val="24"/>
        </w:rPr>
        <w:fldChar w:fldCharType="end"/>
      </w:r>
      <w:r>
        <w:rPr>
          <w:rFonts w:ascii="宋体" w:hAnsi="宋体"/>
          <w:b/>
          <w:bCs w:val="0"/>
          <w:color w:val="auto"/>
          <w:sz w:val="24"/>
          <w:szCs w:val="24"/>
        </w:rPr>
        <w:fldChar w:fldCharType="end"/>
      </w:r>
    </w:p>
    <w:p>
      <w:pPr>
        <w:pStyle w:val="33"/>
        <w:keepNext w:val="0"/>
        <w:keepLines w:val="0"/>
        <w:pageBreakBefore w:val="0"/>
        <w:widowControl w:val="0"/>
        <w:tabs>
          <w:tab w:val="right" w:leader="dot" w:pos="9174"/>
        </w:tabs>
        <w:kinsoku/>
        <w:wordWrap/>
        <w:overflowPunct/>
        <w:topLinePunct w:val="0"/>
        <w:autoSpaceDE/>
        <w:autoSpaceDN/>
        <w:bidi w:val="0"/>
        <w:adjustRightInd/>
        <w:snapToGrid/>
        <w:spacing w:line="440" w:lineRule="exact"/>
        <w:textAlignment w:val="auto"/>
        <w:rPr>
          <w:rFonts w:ascii="宋体" w:hAnsi="宋体"/>
          <w:b/>
          <w:bCs w:val="0"/>
          <w:smallCaps w:val="0"/>
          <w:color w:val="auto"/>
          <w:sz w:val="24"/>
          <w:szCs w:val="24"/>
        </w:rPr>
      </w:pPr>
      <w:r>
        <w:rPr>
          <w:b/>
          <w:bCs w:val="0"/>
          <w:color w:val="auto"/>
          <w:sz w:val="24"/>
          <w:szCs w:val="24"/>
        </w:rPr>
        <w:fldChar w:fldCharType="begin"/>
      </w:r>
      <w:r>
        <w:rPr>
          <w:b/>
          <w:bCs w:val="0"/>
          <w:color w:val="auto"/>
          <w:sz w:val="24"/>
          <w:szCs w:val="24"/>
        </w:rPr>
        <w:instrText xml:space="preserve"> HYPERLINK \l "_Toc150262773" </w:instrText>
      </w:r>
      <w:r>
        <w:rPr>
          <w:b/>
          <w:bCs w:val="0"/>
          <w:color w:val="auto"/>
          <w:sz w:val="24"/>
          <w:szCs w:val="24"/>
        </w:rPr>
        <w:fldChar w:fldCharType="separate"/>
      </w:r>
      <w:r>
        <w:rPr>
          <w:rStyle w:val="47"/>
          <w:rFonts w:ascii="宋体" w:hAnsi="宋体"/>
          <w:b/>
          <w:bCs w:val="0"/>
          <w:color w:val="auto"/>
          <w:kern w:val="28"/>
          <w:sz w:val="24"/>
          <w:szCs w:val="24"/>
        </w:rPr>
        <w:t>2.4工程建设方案概况</w:t>
      </w:r>
      <w:r>
        <w:rPr>
          <w:rFonts w:ascii="宋体" w:hAnsi="宋体"/>
          <w:b/>
          <w:bCs w:val="0"/>
          <w:color w:val="auto"/>
          <w:sz w:val="24"/>
          <w:szCs w:val="24"/>
        </w:rPr>
        <w:tab/>
      </w:r>
      <w:r>
        <w:rPr>
          <w:rFonts w:ascii="宋体" w:hAnsi="宋体"/>
          <w:b/>
          <w:bCs w:val="0"/>
          <w:color w:val="auto"/>
          <w:sz w:val="24"/>
          <w:szCs w:val="24"/>
        </w:rPr>
        <w:fldChar w:fldCharType="begin"/>
      </w:r>
      <w:r>
        <w:rPr>
          <w:rFonts w:ascii="宋体" w:hAnsi="宋体"/>
          <w:b/>
          <w:bCs w:val="0"/>
          <w:color w:val="auto"/>
          <w:sz w:val="24"/>
          <w:szCs w:val="24"/>
        </w:rPr>
        <w:instrText xml:space="preserve"> PAGEREF _Toc150262773 \h </w:instrText>
      </w:r>
      <w:r>
        <w:rPr>
          <w:rFonts w:ascii="宋体" w:hAnsi="宋体"/>
          <w:b/>
          <w:bCs w:val="0"/>
          <w:color w:val="auto"/>
          <w:sz w:val="24"/>
          <w:szCs w:val="24"/>
        </w:rPr>
        <w:fldChar w:fldCharType="separate"/>
      </w:r>
      <w:r>
        <w:rPr>
          <w:rFonts w:ascii="宋体" w:hAnsi="宋体"/>
          <w:b/>
          <w:bCs w:val="0"/>
          <w:color w:val="auto"/>
          <w:sz w:val="24"/>
          <w:szCs w:val="24"/>
        </w:rPr>
        <w:t>14</w:t>
      </w:r>
      <w:r>
        <w:rPr>
          <w:rFonts w:ascii="宋体" w:hAnsi="宋体"/>
          <w:b/>
          <w:bCs w:val="0"/>
          <w:color w:val="auto"/>
          <w:sz w:val="24"/>
          <w:szCs w:val="24"/>
        </w:rPr>
        <w:fldChar w:fldCharType="end"/>
      </w:r>
      <w:r>
        <w:rPr>
          <w:rFonts w:ascii="宋体" w:hAnsi="宋体"/>
          <w:b/>
          <w:bCs w:val="0"/>
          <w:color w:val="auto"/>
          <w:sz w:val="24"/>
          <w:szCs w:val="24"/>
        </w:rPr>
        <w:fldChar w:fldCharType="end"/>
      </w:r>
    </w:p>
    <w:p>
      <w:pPr>
        <w:pStyle w:val="29"/>
        <w:keepNext w:val="0"/>
        <w:keepLines w:val="0"/>
        <w:pageBreakBefore w:val="0"/>
        <w:widowControl w:val="0"/>
        <w:kinsoku/>
        <w:wordWrap/>
        <w:overflowPunct/>
        <w:topLinePunct w:val="0"/>
        <w:autoSpaceDE/>
        <w:autoSpaceDN/>
        <w:bidi w:val="0"/>
        <w:adjustRightInd/>
        <w:snapToGrid/>
        <w:spacing w:before="0" w:after="0" w:line="440" w:lineRule="exact"/>
        <w:textAlignment w:val="auto"/>
        <w:rPr>
          <w:rFonts w:ascii="宋体" w:eastAsia="宋体"/>
          <w:b/>
          <w:bCs w:val="0"/>
          <w:caps w:val="0"/>
          <w:color w:val="auto"/>
          <w:sz w:val="24"/>
          <w:szCs w:val="24"/>
        </w:rPr>
      </w:pPr>
      <w:r>
        <w:rPr>
          <w:b/>
          <w:bCs w:val="0"/>
          <w:color w:val="auto"/>
          <w:sz w:val="24"/>
          <w:szCs w:val="24"/>
        </w:rPr>
        <w:fldChar w:fldCharType="begin"/>
      </w:r>
      <w:r>
        <w:rPr>
          <w:b/>
          <w:bCs w:val="0"/>
          <w:color w:val="auto"/>
          <w:sz w:val="24"/>
          <w:szCs w:val="24"/>
        </w:rPr>
        <w:instrText xml:space="preserve"> HYPERLINK \l "_Toc150262774" </w:instrText>
      </w:r>
      <w:r>
        <w:rPr>
          <w:b/>
          <w:bCs w:val="0"/>
          <w:color w:val="auto"/>
          <w:sz w:val="24"/>
          <w:szCs w:val="24"/>
        </w:rPr>
        <w:fldChar w:fldCharType="separate"/>
      </w:r>
      <w:r>
        <w:rPr>
          <w:rStyle w:val="47"/>
          <w:rFonts w:ascii="宋体" w:eastAsia="宋体"/>
          <w:b/>
          <w:bCs w:val="0"/>
          <w:color w:val="auto"/>
          <w:kern w:val="30"/>
          <w:sz w:val="24"/>
          <w:szCs w:val="24"/>
        </w:rPr>
        <w:t>3定性、定量评价</w:t>
      </w:r>
      <w:r>
        <w:rPr>
          <w:rFonts w:ascii="宋体" w:eastAsia="宋体"/>
          <w:b/>
          <w:bCs w:val="0"/>
          <w:color w:val="auto"/>
          <w:sz w:val="24"/>
          <w:szCs w:val="24"/>
        </w:rPr>
        <w:tab/>
      </w:r>
      <w:r>
        <w:rPr>
          <w:rFonts w:ascii="宋体" w:eastAsia="宋体"/>
          <w:b/>
          <w:bCs w:val="0"/>
          <w:color w:val="auto"/>
          <w:sz w:val="24"/>
          <w:szCs w:val="24"/>
        </w:rPr>
        <w:fldChar w:fldCharType="begin"/>
      </w:r>
      <w:r>
        <w:rPr>
          <w:rFonts w:ascii="宋体" w:eastAsia="宋体"/>
          <w:b/>
          <w:bCs w:val="0"/>
          <w:color w:val="auto"/>
          <w:sz w:val="24"/>
          <w:szCs w:val="24"/>
        </w:rPr>
        <w:instrText xml:space="preserve"> PAGEREF _Toc150262774 \h </w:instrText>
      </w:r>
      <w:r>
        <w:rPr>
          <w:rFonts w:ascii="宋体" w:eastAsia="宋体"/>
          <w:b/>
          <w:bCs w:val="0"/>
          <w:color w:val="auto"/>
          <w:sz w:val="24"/>
          <w:szCs w:val="24"/>
        </w:rPr>
        <w:fldChar w:fldCharType="separate"/>
      </w:r>
      <w:r>
        <w:rPr>
          <w:rFonts w:ascii="宋体" w:eastAsia="宋体"/>
          <w:b/>
          <w:bCs w:val="0"/>
          <w:color w:val="auto"/>
          <w:sz w:val="24"/>
          <w:szCs w:val="24"/>
        </w:rPr>
        <w:t>23</w:t>
      </w:r>
      <w:r>
        <w:rPr>
          <w:rFonts w:ascii="宋体" w:eastAsia="宋体"/>
          <w:b/>
          <w:bCs w:val="0"/>
          <w:color w:val="auto"/>
          <w:sz w:val="24"/>
          <w:szCs w:val="24"/>
        </w:rPr>
        <w:fldChar w:fldCharType="end"/>
      </w:r>
      <w:r>
        <w:rPr>
          <w:rFonts w:ascii="宋体" w:eastAsia="宋体"/>
          <w:b/>
          <w:bCs w:val="0"/>
          <w:color w:val="auto"/>
          <w:sz w:val="24"/>
          <w:szCs w:val="24"/>
        </w:rPr>
        <w:fldChar w:fldCharType="end"/>
      </w:r>
    </w:p>
    <w:p>
      <w:pPr>
        <w:pStyle w:val="33"/>
        <w:keepNext w:val="0"/>
        <w:keepLines w:val="0"/>
        <w:pageBreakBefore w:val="0"/>
        <w:widowControl w:val="0"/>
        <w:tabs>
          <w:tab w:val="right" w:leader="dot" w:pos="9174"/>
        </w:tabs>
        <w:kinsoku/>
        <w:wordWrap/>
        <w:overflowPunct/>
        <w:topLinePunct w:val="0"/>
        <w:autoSpaceDE/>
        <w:autoSpaceDN/>
        <w:bidi w:val="0"/>
        <w:adjustRightInd/>
        <w:snapToGrid/>
        <w:spacing w:line="440" w:lineRule="exact"/>
        <w:textAlignment w:val="auto"/>
        <w:rPr>
          <w:rFonts w:ascii="宋体" w:hAnsi="宋体"/>
          <w:b/>
          <w:bCs w:val="0"/>
          <w:smallCaps w:val="0"/>
          <w:color w:val="auto"/>
          <w:sz w:val="24"/>
          <w:szCs w:val="24"/>
        </w:rPr>
      </w:pPr>
      <w:r>
        <w:rPr>
          <w:b/>
          <w:bCs w:val="0"/>
          <w:color w:val="auto"/>
          <w:sz w:val="24"/>
          <w:szCs w:val="24"/>
        </w:rPr>
        <w:fldChar w:fldCharType="begin"/>
      </w:r>
      <w:r>
        <w:rPr>
          <w:b/>
          <w:bCs w:val="0"/>
          <w:color w:val="auto"/>
          <w:sz w:val="24"/>
          <w:szCs w:val="24"/>
        </w:rPr>
        <w:instrText xml:space="preserve"> HYPERLINK \l "_Toc150262775" </w:instrText>
      </w:r>
      <w:r>
        <w:rPr>
          <w:b/>
          <w:bCs w:val="0"/>
          <w:color w:val="auto"/>
          <w:sz w:val="24"/>
          <w:szCs w:val="24"/>
        </w:rPr>
        <w:fldChar w:fldCharType="separate"/>
      </w:r>
      <w:r>
        <w:rPr>
          <w:rStyle w:val="47"/>
          <w:rFonts w:ascii="宋体" w:hAnsi="宋体"/>
          <w:b/>
          <w:bCs w:val="0"/>
          <w:color w:val="auto"/>
          <w:kern w:val="28"/>
          <w:sz w:val="24"/>
          <w:szCs w:val="24"/>
        </w:rPr>
        <w:t>3.1评价单元的划分和采用的评价方法</w:t>
      </w:r>
      <w:r>
        <w:rPr>
          <w:rFonts w:ascii="宋体" w:hAnsi="宋体"/>
          <w:b/>
          <w:bCs w:val="0"/>
          <w:color w:val="auto"/>
          <w:sz w:val="24"/>
          <w:szCs w:val="24"/>
        </w:rPr>
        <w:tab/>
      </w:r>
      <w:r>
        <w:rPr>
          <w:rFonts w:ascii="宋体" w:hAnsi="宋体"/>
          <w:b/>
          <w:bCs w:val="0"/>
          <w:color w:val="auto"/>
          <w:sz w:val="24"/>
          <w:szCs w:val="24"/>
        </w:rPr>
        <w:fldChar w:fldCharType="begin"/>
      </w:r>
      <w:r>
        <w:rPr>
          <w:rFonts w:ascii="宋体" w:hAnsi="宋体"/>
          <w:b/>
          <w:bCs w:val="0"/>
          <w:color w:val="auto"/>
          <w:sz w:val="24"/>
          <w:szCs w:val="24"/>
        </w:rPr>
        <w:instrText xml:space="preserve"> PAGEREF _Toc150262775 \h </w:instrText>
      </w:r>
      <w:r>
        <w:rPr>
          <w:rFonts w:ascii="宋体" w:hAnsi="宋体"/>
          <w:b/>
          <w:bCs w:val="0"/>
          <w:color w:val="auto"/>
          <w:sz w:val="24"/>
          <w:szCs w:val="24"/>
        </w:rPr>
        <w:fldChar w:fldCharType="separate"/>
      </w:r>
      <w:r>
        <w:rPr>
          <w:rFonts w:ascii="宋体" w:hAnsi="宋体"/>
          <w:b/>
          <w:bCs w:val="0"/>
          <w:color w:val="auto"/>
          <w:sz w:val="24"/>
          <w:szCs w:val="24"/>
        </w:rPr>
        <w:t>23</w:t>
      </w:r>
      <w:r>
        <w:rPr>
          <w:rFonts w:ascii="宋体" w:hAnsi="宋体"/>
          <w:b/>
          <w:bCs w:val="0"/>
          <w:color w:val="auto"/>
          <w:sz w:val="24"/>
          <w:szCs w:val="24"/>
        </w:rPr>
        <w:fldChar w:fldCharType="end"/>
      </w:r>
      <w:r>
        <w:rPr>
          <w:rFonts w:ascii="宋体" w:hAnsi="宋体"/>
          <w:b/>
          <w:bCs w:val="0"/>
          <w:color w:val="auto"/>
          <w:sz w:val="24"/>
          <w:szCs w:val="24"/>
        </w:rPr>
        <w:fldChar w:fldCharType="end"/>
      </w:r>
    </w:p>
    <w:p>
      <w:pPr>
        <w:pStyle w:val="33"/>
        <w:keepNext w:val="0"/>
        <w:keepLines w:val="0"/>
        <w:pageBreakBefore w:val="0"/>
        <w:widowControl w:val="0"/>
        <w:tabs>
          <w:tab w:val="right" w:leader="dot" w:pos="9174"/>
        </w:tabs>
        <w:kinsoku/>
        <w:wordWrap/>
        <w:overflowPunct/>
        <w:topLinePunct w:val="0"/>
        <w:autoSpaceDE/>
        <w:autoSpaceDN/>
        <w:bidi w:val="0"/>
        <w:adjustRightInd/>
        <w:snapToGrid/>
        <w:spacing w:line="440" w:lineRule="exact"/>
        <w:textAlignment w:val="auto"/>
        <w:rPr>
          <w:rFonts w:ascii="宋体" w:hAnsi="宋体"/>
          <w:b/>
          <w:bCs w:val="0"/>
          <w:smallCaps w:val="0"/>
          <w:color w:val="auto"/>
          <w:sz w:val="24"/>
          <w:szCs w:val="24"/>
        </w:rPr>
      </w:pPr>
      <w:r>
        <w:rPr>
          <w:b/>
          <w:bCs w:val="0"/>
          <w:color w:val="auto"/>
          <w:sz w:val="24"/>
          <w:szCs w:val="24"/>
        </w:rPr>
        <w:fldChar w:fldCharType="begin"/>
      </w:r>
      <w:r>
        <w:rPr>
          <w:b/>
          <w:bCs w:val="0"/>
          <w:color w:val="auto"/>
          <w:sz w:val="24"/>
          <w:szCs w:val="24"/>
        </w:rPr>
        <w:instrText xml:space="preserve"> HYPERLINK \l "_Toc150262776" </w:instrText>
      </w:r>
      <w:r>
        <w:rPr>
          <w:b/>
          <w:bCs w:val="0"/>
          <w:color w:val="auto"/>
          <w:sz w:val="24"/>
          <w:szCs w:val="24"/>
        </w:rPr>
        <w:fldChar w:fldCharType="separate"/>
      </w:r>
      <w:r>
        <w:rPr>
          <w:rStyle w:val="47"/>
          <w:rFonts w:ascii="宋体" w:hAnsi="宋体"/>
          <w:b/>
          <w:bCs w:val="0"/>
          <w:color w:val="auto"/>
          <w:kern w:val="28"/>
          <w:sz w:val="24"/>
          <w:szCs w:val="24"/>
        </w:rPr>
        <w:t>3.2总平面布置单元评价</w:t>
      </w:r>
      <w:r>
        <w:rPr>
          <w:rFonts w:ascii="宋体" w:hAnsi="宋体"/>
          <w:b/>
          <w:bCs w:val="0"/>
          <w:color w:val="auto"/>
          <w:sz w:val="24"/>
          <w:szCs w:val="24"/>
        </w:rPr>
        <w:tab/>
      </w:r>
      <w:r>
        <w:rPr>
          <w:rFonts w:ascii="宋体" w:hAnsi="宋体"/>
          <w:b/>
          <w:bCs w:val="0"/>
          <w:color w:val="auto"/>
          <w:sz w:val="24"/>
          <w:szCs w:val="24"/>
        </w:rPr>
        <w:fldChar w:fldCharType="begin"/>
      </w:r>
      <w:r>
        <w:rPr>
          <w:rFonts w:ascii="宋体" w:hAnsi="宋体"/>
          <w:b/>
          <w:bCs w:val="0"/>
          <w:color w:val="auto"/>
          <w:sz w:val="24"/>
          <w:szCs w:val="24"/>
        </w:rPr>
        <w:instrText xml:space="preserve"> PAGEREF _Toc150262776 \h </w:instrText>
      </w:r>
      <w:r>
        <w:rPr>
          <w:rFonts w:ascii="宋体" w:hAnsi="宋体"/>
          <w:b/>
          <w:bCs w:val="0"/>
          <w:color w:val="auto"/>
          <w:sz w:val="24"/>
          <w:szCs w:val="24"/>
        </w:rPr>
        <w:fldChar w:fldCharType="separate"/>
      </w:r>
      <w:r>
        <w:rPr>
          <w:rFonts w:ascii="宋体" w:hAnsi="宋体"/>
          <w:b/>
          <w:bCs w:val="0"/>
          <w:color w:val="auto"/>
          <w:sz w:val="24"/>
          <w:szCs w:val="24"/>
        </w:rPr>
        <w:t>25</w:t>
      </w:r>
      <w:r>
        <w:rPr>
          <w:rFonts w:ascii="宋体" w:hAnsi="宋体"/>
          <w:b/>
          <w:bCs w:val="0"/>
          <w:color w:val="auto"/>
          <w:sz w:val="24"/>
          <w:szCs w:val="24"/>
        </w:rPr>
        <w:fldChar w:fldCharType="end"/>
      </w:r>
      <w:r>
        <w:rPr>
          <w:rFonts w:ascii="宋体" w:hAnsi="宋体"/>
          <w:b/>
          <w:bCs w:val="0"/>
          <w:color w:val="auto"/>
          <w:sz w:val="24"/>
          <w:szCs w:val="24"/>
        </w:rPr>
        <w:fldChar w:fldCharType="end"/>
      </w:r>
    </w:p>
    <w:p>
      <w:pPr>
        <w:pStyle w:val="33"/>
        <w:keepNext w:val="0"/>
        <w:keepLines w:val="0"/>
        <w:pageBreakBefore w:val="0"/>
        <w:widowControl w:val="0"/>
        <w:tabs>
          <w:tab w:val="right" w:leader="dot" w:pos="9174"/>
        </w:tabs>
        <w:kinsoku/>
        <w:wordWrap/>
        <w:overflowPunct/>
        <w:topLinePunct w:val="0"/>
        <w:autoSpaceDE/>
        <w:autoSpaceDN/>
        <w:bidi w:val="0"/>
        <w:adjustRightInd/>
        <w:snapToGrid/>
        <w:spacing w:line="440" w:lineRule="exact"/>
        <w:textAlignment w:val="auto"/>
        <w:rPr>
          <w:rFonts w:ascii="宋体" w:hAnsi="宋体"/>
          <w:b/>
          <w:bCs w:val="0"/>
          <w:smallCaps w:val="0"/>
          <w:color w:val="auto"/>
          <w:sz w:val="24"/>
          <w:szCs w:val="24"/>
        </w:rPr>
      </w:pPr>
      <w:r>
        <w:rPr>
          <w:b/>
          <w:bCs w:val="0"/>
          <w:color w:val="auto"/>
          <w:sz w:val="24"/>
          <w:szCs w:val="24"/>
        </w:rPr>
        <w:fldChar w:fldCharType="begin"/>
      </w:r>
      <w:r>
        <w:rPr>
          <w:b/>
          <w:bCs w:val="0"/>
          <w:color w:val="auto"/>
          <w:sz w:val="24"/>
          <w:szCs w:val="24"/>
        </w:rPr>
        <w:instrText xml:space="preserve"> HYPERLINK \l "_Toc150262777" </w:instrText>
      </w:r>
      <w:r>
        <w:rPr>
          <w:b/>
          <w:bCs w:val="0"/>
          <w:color w:val="auto"/>
          <w:sz w:val="24"/>
          <w:szCs w:val="24"/>
        </w:rPr>
        <w:fldChar w:fldCharType="separate"/>
      </w:r>
      <w:r>
        <w:rPr>
          <w:rStyle w:val="47"/>
          <w:rFonts w:ascii="宋体" w:hAnsi="宋体"/>
          <w:b/>
          <w:bCs w:val="0"/>
          <w:color w:val="auto"/>
          <w:kern w:val="28"/>
          <w:sz w:val="24"/>
          <w:szCs w:val="24"/>
        </w:rPr>
        <w:t>3.3开拓运输单元评价</w:t>
      </w:r>
      <w:r>
        <w:rPr>
          <w:rFonts w:ascii="宋体" w:hAnsi="宋体"/>
          <w:b/>
          <w:bCs w:val="0"/>
          <w:color w:val="auto"/>
          <w:sz w:val="24"/>
          <w:szCs w:val="24"/>
        </w:rPr>
        <w:tab/>
      </w:r>
      <w:r>
        <w:rPr>
          <w:rFonts w:ascii="宋体" w:hAnsi="宋体"/>
          <w:b/>
          <w:bCs w:val="0"/>
          <w:color w:val="auto"/>
          <w:sz w:val="24"/>
          <w:szCs w:val="24"/>
        </w:rPr>
        <w:fldChar w:fldCharType="begin"/>
      </w:r>
      <w:r>
        <w:rPr>
          <w:rFonts w:ascii="宋体" w:hAnsi="宋体"/>
          <w:b/>
          <w:bCs w:val="0"/>
          <w:color w:val="auto"/>
          <w:sz w:val="24"/>
          <w:szCs w:val="24"/>
        </w:rPr>
        <w:instrText xml:space="preserve"> PAGEREF _Toc150262777 \h </w:instrText>
      </w:r>
      <w:r>
        <w:rPr>
          <w:rFonts w:ascii="宋体" w:hAnsi="宋体"/>
          <w:b/>
          <w:bCs w:val="0"/>
          <w:color w:val="auto"/>
          <w:sz w:val="24"/>
          <w:szCs w:val="24"/>
        </w:rPr>
        <w:fldChar w:fldCharType="separate"/>
      </w:r>
      <w:r>
        <w:rPr>
          <w:rFonts w:ascii="宋体" w:hAnsi="宋体"/>
          <w:b/>
          <w:bCs w:val="0"/>
          <w:color w:val="auto"/>
          <w:sz w:val="24"/>
          <w:szCs w:val="24"/>
        </w:rPr>
        <w:t>26</w:t>
      </w:r>
      <w:r>
        <w:rPr>
          <w:rFonts w:ascii="宋体" w:hAnsi="宋体"/>
          <w:b/>
          <w:bCs w:val="0"/>
          <w:color w:val="auto"/>
          <w:sz w:val="24"/>
          <w:szCs w:val="24"/>
        </w:rPr>
        <w:fldChar w:fldCharType="end"/>
      </w:r>
      <w:r>
        <w:rPr>
          <w:rFonts w:ascii="宋体" w:hAnsi="宋体"/>
          <w:b/>
          <w:bCs w:val="0"/>
          <w:color w:val="auto"/>
          <w:sz w:val="24"/>
          <w:szCs w:val="24"/>
        </w:rPr>
        <w:fldChar w:fldCharType="end"/>
      </w:r>
    </w:p>
    <w:p>
      <w:pPr>
        <w:pStyle w:val="33"/>
        <w:keepNext w:val="0"/>
        <w:keepLines w:val="0"/>
        <w:pageBreakBefore w:val="0"/>
        <w:widowControl w:val="0"/>
        <w:tabs>
          <w:tab w:val="right" w:leader="dot" w:pos="9174"/>
        </w:tabs>
        <w:kinsoku/>
        <w:wordWrap/>
        <w:overflowPunct/>
        <w:topLinePunct w:val="0"/>
        <w:autoSpaceDE/>
        <w:autoSpaceDN/>
        <w:bidi w:val="0"/>
        <w:adjustRightInd/>
        <w:snapToGrid/>
        <w:spacing w:line="440" w:lineRule="exact"/>
        <w:textAlignment w:val="auto"/>
        <w:rPr>
          <w:rFonts w:ascii="宋体" w:hAnsi="宋体"/>
          <w:b/>
          <w:bCs w:val="0"/>
          <w:smallCaps w:val="0"/>
          <w:color w:val="auto"/>
          <w:sz w:val="24"/>
          <w:szCs w:val="24"/>
        </w:rPr>
      </w:pPr>
      <w:r>
        <w:rPr>
          <w:b/>
          <w:bCs w:val="0"/>
          <w:color w:val="auto"/>
          <w:sz w:val="24"/>
          <w:szCs w:val="24"/>
        </w:rPr>
        <w:fldChar w:fldCharType="begin"/>
      </w:r>
      <w:r>
        <w:rPr>
          <w:b/>
          <w:bCs w:val="0"/>
          <w:color w:val="auto"/>
          <w:sz w:val="24"/>
          <w:szCs w:val="24"/>
        </w:rPr>
        <w:instrText xml:space="preserve"> HYPERLINK \l "_Toc150262778" </w:instrText>
      </w:r>
      <w:r>
        <w:rPr>
          <w:b/>
          <w:bCs w:val="0"/>
          <w:color w:val="auto"/>
          <w:sz w:val="24"/>
          <w:szCs w:val="24"/>
        </w:rPr>
        <w:fldChar w:fldCharType="separate"/>
      </w:r>
      <w:r>
        <w:rPr>
          <w:rStyle w:val="47"/>
          <w:rFonts w:ascii="宋体" w:hAnsi="宋体"/>
          <w:b/>
          <w:bCs w:val="0"/>
          <w:color w:val="auto"/>
          <w:kern w:val="28"/>
          <w:sz w:val="24"/>
          <w:szCs w:val="24"/>
        </w:rPr>
        <w:t>3.4采剥单元评价</w:t>
      </w:r>
      <w:r>
        <w:rPr>
          <w:rFonts w:ascii="宋体" w:hAnsi="宋体"/>
          <w:b/>
          <w:bCs w:val="0"/>
          <w:color w:val="auto"/>
          <w:sz w:val="24"/>
          <w:szCs w:val="24"/>
        </w:rPr>
        <w:tab/>
      </w:r>
      <w:r>
        <w:rPr>
          <w:rFonts w:ascii="宋体" w:hAnsi="宋体"/>
          <w:b/>
          <w:bCs w:val="0"/>
          <w:color w:val="auto"/>
          <w:sz w:val="24"/>
          <w:szCs w:val="24"/>
        </w:rPr>
        <w:fldChar w:fldCharType="begin"/>
      </w:r>
      <w:r>
        <w:rPr>
          <w:rFonts w:ascii="宋体" w:hAnsi="宋体"/>
          <w:b/>
          <w:bCs w:val="0"/>
          <w:color w:val="auto"/>
          <w:sz w:val="24"/>
          <w:szCs w:val="24"/>
        </w:rPr>
        <w:instrText xml:space="preserve"> PAGEREF _Toc150262778 \h </w:instrText>
      </w:r>
      <w:r>
        <w:rPr>
          <w:rFonts w:ascii="宋体" w:hAnsi="宋体"/>
          <w:b/>
          <w:bCs w:val="0"/>
          <w:color w:val="auto"/>
          <w:sz w:val="24"/>
          <w:szCs w:val="24"/>
        </w:rPr>
        <w:fldChar w:fldCharType="separate"/>
      </w:r>
      <w:r>
        <w:rPr>
          <w:rFonts w:ascii="宋体" w:hAnsi="宋体"/>
          <w:b/>
          <w:bCs w:val="0"/>
          <w:color w:val="auto"/>
          <w:sz w:val="24"/>
          <w:szCs w:val="24"/>
        </w:rPr>
        <w:t>28</w:t>
      </w:r>
      <w:r>
        <w:rPr>
          <w:rFonts w:ascii="宋体" w:hAnsi="宋体"/>
          <w:b/>
          <w:bCs w:val="0"/>
          <w:color w:val="auto"/>
          <w:sz w:val="24"/>
          <w:szCs w:val="24"/>
        </w:rPr>
        <w:fldChar w:fldCharType="end"/>
      </w:r>
      <w:r>
        <w:rPr>
          <w:rFonts w:ascii="宋体" w:hAnsi="宋体"/>
          <w:b/>
          <w:bCs w:val="0"/>
          <w:color w:val="auto"/>
          <w:sz w:val="24"/>
          <w:szCs w:val="24"/>
        </w:rPr>
        <w:fldChar w:fldCharType="end"/>
      </w:r>
    </w:p>
    <w:p>
      <w:pPr>
        <w:pStyle w:val="33"/>
        <w:keepNext w:val="0"/>
        <w:keepLines w:val="0"/>
        <w:pageBreakBefore w:val="0"/>
        <w:widowControl w:val="0"/>
        <w:tabs>
          <w:tab w:val="right" w:leader="dot" w:pos="9174"/>
        </w:tabs>
        <w:kinsoku/>
        <w:wordWrap/>
        <w:overflowPunct/>
        <w:topLinePunct w:val="0"/>
        <w:autoSpaceDE/>
        <w:autoSpaceDN/>
        <w:bidi w:val="0"/>
        <w:adjustRightInd/>
        <w:snapToGrid/>
        <w:spacing w:line="440" w:lineRule="exact"/>
        <w:textAlignment w:val="auto"/>
        <w:rPr>
          <w:rFonts w:ascii="宋体" w:hAnsi="宋体"/>
          <w:b/>
          <w:bCs w:val="0"/>
          <w:smallCaps w:val="0"/>
          <w:color w:val="auto"/>
          <w:sz w:val="24"/>
          <w:szCs w:val="24"/>
        </w:rPr>
      </w:pPr>
      <w:r>
        <w:rPr>
          <w:b/>
          <w:bCs w:val="0"/>
          <w:color w:val="auto"/>
          <w:sz w:val="24"/>
          <w:szCs w:val="24"/>
        </w:rPr>
        <w:fldChar w:fldCharType="begin"/>
      </w:r>
      <w:r>
        <w:rPr>
          <w:b/>
          <w:bCs w:val="0"/>
          <w:color w:val="auto"/>
          <w:sz w:val="24"/>
          <w:szCs w:val="24"/>
        </w:rPr>
        <w:instrText xml:space="preserve"> HYPERLINK \l "_Toc150262779" </w:instrText>
      </w:r>
      <w:r>
        <w:rPr>
          <w:b/>
          <w:bCs w:val="0"/>
          <w:color w:val="auto"/>
          <w:sz w:val="24"/>
          <w:szCs w:val="24"/>
        </w:rPr>
        <w:fldChar w:fldCharType="separate"/>
      </w:r>
      <w:r>
        <w:rPr>
          <w:rStyle w:val="47"/>
          <w:rFonts w:ascii="宋体" w:hAnsi="宋体"/>
          <w:b/>
          <w:bCs w:val="0"/>
          <w:color w:val="auto"/>
          <w:kern w:val="28"/>
          <w:sz w:val="24"/>
          <w:szCs w:val="24"/>
        </w:rPr>
        <w:t>3.5通风系统单元</w:t>
      </w:r>
      <w:r>
        <w:rPr>
          <w:rFonts w:ascii="宋体" w:hAnsi="宋体"/>
          <w:b/>
          <w:bCs w:val="0"/>
          <w:color w:val="auto"/>
          <w:sz w:val="24"/>
          <w:szCs w:val="24"/>
        </w:rPr>
        <w:tab/>
      </w:r>
      <w:r>
        <w:rPr>
          <w:rFonts w:ascii="宋体" w:hAnsi="宋体"/>
          <w:b/>
          <w:bCs w:val="0"/>
          <w:color w:val="auto"/>
          <w:sz w:val="24"/>
          <w:szCs w:val="24"/>
        </w:rPr>
        <w:fldChar w:fldCharType="begin"/>
      </w:r>
      <w:r>
        <w:rPr>
          <w:rFonts w:ascii="宋体" w:hAnsi="宋体"/>
          <w:b/>
          <w:bCs w:val="0"/>
          <w:color w:val="auto"/>
          <w:sz w:val="24"/>
          <w:szCs w:val="24"/>
        </w:rPr>
        <w:instrText xml:space="preserve"> PAGEREF _Toc150262779 \h </w:instrText>
      </w:r>
      <w:r>
        <w:rPr>
          <w:rFonts w:ascii="宋体" w:hAnsi="宋体"/>
          <w:b/>
          <w:bCs w:val="0"/>
          <w:color w:val="auto"/>
          <w:sz w:val="24"/>
          <w:szCs w:val="24"/>
        </w:rPr>
        <w:fldChar w:fldCharType="separate"/>
      </w:r>
      <w:r>
        <w:rPr>
          <w:rFonts w:ascii="宋体" w:hAnsi="宋体"/>
          <w:b/>
          <w:bCs w:val="0"/>
          <w:color w:val="auto"/>
          <w:sz w:val="24"/>
          <w:szCs w:val="24"/>
        </w:rPr>
        <w:t>30</w:t>
      </w:r>
      <w:r>
        <w:rPr>
          <w:rFonts w:ascii="宋体" w:hAnsi="宋体"/>
          <w:b/>
          <w:bCs w:val="0"/>
          <w:color w:val="auto"/>
          <w:sz w:val="24"/>
          <w:szCs w:val="24"/>
        </w:rPr>
        <w:fldChar w:fldCharType="end"/>
      </w:r>
      <w:r>
        <w:rPr>
          <w:rFonts w:ascii="宋体" w:hAnsi="宋体"/>
          <w:b/>
          <w:bCs w:val="0"/>
          <w:color w:val="auto"/>
          <w:sz w:val="24"/>
          <w:szCs w:val="24"/>
        </w:rPr>
        <w:fldChar w:fldCharType="end"/>
      </w:r>
    </w:p>
    <w:p>
      <w:pPr>
        <w:pStyle w:val="33"/>
        <w:keepNext w:val="0"/>
        <w:keepLines w:val="0"/>
        <w:pageBreakBefore w:val="0"/>
        <w:widowControl w:val="0"/>
        <w:tabs>
          <w:tab w:val="right" w:leader="dot" w:pos="9174"/>
        </w:tabs>
        <w:kinsoku/>
        <w:wordWrap/>
        <w:overflowPunct/>
        <w:topLinePunct w:val="0"/>
        <w:autoSpaceDE/>
        <w:autoSpaceDN/>
        <w:bidi w:val="0"/>
        <w:adjustRightInd/>
        <w:snapToGrid/>
        <w:spacing w:line="440" w:lineRule="exact"/>
        <w:textAlignment w:val="auto"/>
        <w:rPr>
          <w:rFonts w:ascii="宋体" w:hAnsi="宋体"/>
          <w:b/>
          <w:bCs w:val="0"/>
          <w:smallCaps w:val="0"/>
          <w:color w:val="auto"/>
          <w:sz w:val="24"/>
          <w:szCs w:val="24"/>
        </w:rPr>
      </w:pPr>
      <w:r>
        <w:rPr>
          <w:b/>
          <w:bCs w:val="0"/>
          <w:color w:val="auto"/>
          <w:sz w:val="24"/>
          <w:szCs w:val="24"/>
        </w:rPr>
        <w:fldChar w:fldCharType="begin"/>
      </w:r>
      <w:r>
        <w:rPr>
          <w:b/>
          <w:bCs w:val="0"/>
          <w:color w:val="auto"/>
          <w:sz w:val="24"/>
          <w:szCs w:val="24"/>
        </w:rPr>
        <w:instrText xml:space="preserve"> HYPERLINK \l "_Toc150262780" </w:instrText>
      </w:r>
      <w:r>
        <w:rPr>
          <w:b/>
          <w:bCs w:val="0"/>
          <w:color w:val="auto"/>
          <w:sz w:val="24"/>
          <w:szCs w:val="24"/>
        </w:rPr>
        <w:fldChar w:fldCharType="separate"/>
      </w:r>
      <w:r>
        <w:rPr>
          <w:rStyle w:val="47"/>
          <w:rFonts w:ascii="宋体" w:hAnsi="宋体"/>
          <w:b/>
          <w:bCs w:val="0"/>
          <w:color w:val="auto"/>
          <w:kern w:val="28"/>
          <w:sz w:val="24"/>
          <w:szCs w:val="24"/>
        </w:rPr>
        <w:t>3.6矿山供配电设施单元评价</w:t>
      </w:r>
      <w:r>
        <w:rPr>
          <w:rFonts w:ascii="宋体" w:hAnsi="宋体"/>
          <w:b/>
          <w:bCs w:val="0"/>
          <w:color w:val="auto"/>
          <w:sz w:val="24"/>
          <w:szCs w:val="24"/>
        </w:rPr>
        <w:tab/>
      </w:r>
      <w:r>
        <w:rPr>
          <w:rFonts w:ascii="宋体" w:hAnsi="宋体"/>
          <w:b/>
          <w:bCs w:val="0"/>
          <w:color w:val="auto"/>
          <w:sz w:val="24"/>
          <w:szCs w:val="24"/>
        </w:rPr>
        <w:fldChar w:fldCharType="begin"/>
      </w:r>
      <w:r>
        <w:rPr>
          <w:rFonts w:ascii="宋体" w:hAnsi="宋体"/>
          <w:b/>
          <w:bCs w:val="0"/>
          <w:color w:val="auto"/>
          <w:sz w:val="24"/>
          <w:szCs w:val="24"/>
        </w:rPr>
        <w:instrText xml:space="preserve"> PAGEREF _Toc150262780 \h </w:instrText>
      </w:r>
      <w:r>
        <w:rPr>
          <w:rFonts w:ascii="宋体" w:hAnsi="宋体"/>
          <w:b/>
          <w:bCs w:val="0"/>
          <w:color w:val="auto"/>
          <w:sz w:val="24"/>
          <w:szCs w:val="24"/>
        </w:rPr>
        <w:fldChar w:fldCharType="separate"/>
      </w:r>
      <w:r>
        <w:rPr>
          <w:rFonts w:ascii="宋体" w:hAnsi="宋体"/>
          <w:b/>
          <w:bCs w:val="0"/>
          <w:color w:val="auto"/>
          <w:sz w:val="24"/>
          <w:szCs w:val="24"/>
        </w:rPr>
        <w:t>30</w:t>
      </w:r>
      <w:r>
        <w:rPr>
          <w:rFonts w:ascii="宋体" w:hAnsi="宋体"/>
          <w:b/>
          <w:bCs w:val="0"/>
          <w:color w:val="auto"/>
          <w:sz w:val="24"/>
          <w:szCs w:val="24"/>
        </w:rPr>
        <w:fldChar w:fldCharType="end"/>
      </w:r>
      <w:r>
        <w:rPr>
          <w:rFonts w:ascii="宋体" w:hAnsi="宋体"/>
          <w:b/>
          <w:bCs w:val="0"/>
          <w:color w:val="auto"/>
          <w:sz w:val="24"/>
          <w:szCs w:val="24"/>
        </w:rPr>
        <w:fldChar w:fldCharType="end"/>
      </w:r>
    </w:p>
    <w:p>
      <w:pPr>
        <w:pStyle w:val="33"/>
        <w:keepNext w:val="0"/>
        <w:keepLines w:val="0"/>
        <w:pageBreakBefore w:val="0"/>
        <w:widowControl w:val="0"/>
        <w:tabs>
          <w:tab w:val="right" w:leader="dot" w:pos="9174"/>
        </w:tabs>
        <w:kinsoku/>
        <w:wordWrap/>
        <w:overflowPunct/>
        <w:topLinePunct w:val="0"/>
        <w:autoSpaceDE/>
        <w:autoSpaceDN/>
        <w:bidi w:val="0"/>
        <w:adjustRightInd/>
        <w:snapToGrid/>
        <w:spacing w:line="440" w:lineRule="exact"/>
        <w:textAlignment w:val="auto"/>
        <w:rPr>
          <w:rFonts w:ascii="宋体" w:hAnsi="宋体"/>
          <w:b/>
          <w:bCs w:val="0"/>
          <w:smallCaps w:val="0"/>
          <w:color w:val="auto"/>
          <w:sz w:val="24"/>
          <w:szCs w:val="24"/>
        </w:rPr>
      </w:pPr>
      <w:r>
        <w:rPr>
          <w:b/>
          <w:bCs w:val="0"/>
          <w:color w:val="auto"/>
          <w:sz w:val="24"/>
          <w:szCs w:val="24"/>
        </w:rPr>
        <w:fldChar w:fldCharType="begin"/>
      </w:r>
      <w:r>
        <w:rPr>
          <w:b/>
          <w:bCs w:val="0"/>
          <w:color w:val="auto"/>
          <w:sz w:val="24"/>
          <w:szCs w:val="24"/>
        </w:rPr>
        <w:instrText xml:space="preserve"> HYPERLINK \l "_Toc150262781" </w:instrText>
      </w:r>
      <w:r>
        <w:rPr>
          <w:b/>
          <w:bCs w:val="0"/>
          <w:color w:val="auto"/>
          <w:sz w:val="24"/>
          <w:szCs w:val="24"/>
        </w:rPr>
        <w:fldChar w:fldCharType="separate"/>
      </w:r>
      <w:r>
        <w:rPr>
          <w:rStyle w:val="47"/>
          <w:rFonts w:ascii="宋体" w:hAnsi="宋体"/>
          <w:b/>
          <w:bCs w:val="0"/>
          <w:color w:val="auto"/>
          <w:kern w:val="28"/>
          <w:sz w:val="24"/>
          <w:szCs w:val="24"/>
        </w:rPr>
        <w:t>3.7防排水单元评价</w:t>
      </w:r>
      <w:r>
        <w:rPr>
          <w:rFonts w:ascii="宋体" w:hAnsi="宋体"/>
          <w:b/>
          <w:bCs w:val="0"/>
          <w:color w:val="auto"/>
          <w:sz w:val="24"/>
          <w:szCs w:val="24"/>
        </w:rPr>
        <w:tab/>
      </w:r>
      <w:r>
        <w:rPr>
          <w:rFonts w:ascii="宋体" w:hAnsi="宋体"/>
          <w:b/>
          <w:bCs w:val="0"/>
          <w:color w:val="auto"/>
          <w:sz w:val="24"/>
          <w:szCs w:val="24"/>
        </w:rPr>
        <w:fldChar w:fldCharType="begin"/>
      </w:r>
      <w:r>
        <w:rPr>
          <w:rFonts w:ascii="宋体" w:hAnsi="宋体"/>
          <w:b/>
          <w:bCs w:val="0"/>
          <w:color w:val="auto"/>
          <w:sz w:val="24"/>
          <w:szCs w:val="24"/>
        </w:rPr>
        <w:instrText xml:space="preserve"> PAGEREF _Toc150262781 \h </w:instrText>
      </w:r>
      <w:r>
        <w:rPr>
          <w:rFonts w:ascii="宋体" w:hAnsi="宋体"/>
          <w:b/>
          <w:bCs w:val="0"/>
          <w:color w:val="auto"/>
          <w:sz w:val="24"/>
          <w:szCs w:val="24"/>
        </w:rPr>
        <w:fldChar w:fldCharType="separate"/>
      </w:r>
      <w:r>
        <w:rPr>
          <w:rFonts w:ascii="宋体" w:hAnsi="宋体"/>
          <w:b/>
          <w:bCs w:val="0"/>
          <w:color w:val="auto"/>
          <w:sz w:val="24"/>
          <w:szCs w:val="24"/>
        </w:rPr>
        <w:t>32</w:t>
      </w:r>
      <w:r>
        <w:rPr>
          <w:rFonts w:ascii="宋体" w:hAnsi="宋体"/>
          <w:b/>
          <w:bCs w:val="0"/>
          <w:color w:val="auto"/>
          <w:sz w:val="24"/>
          <w:szCs w:val="24"/>
        </w:rPr>
        <w:fldChar w:fldCharType="end"/>
      </w:r>
      <w:r>
        <w:rPr>
          <w:rFonts w:ascii="宋体" w:hAnsi="宋体"/>
          <w:b/>
          <w:bCs w:val="0"/>
          <w:color w:val="auto"/>
          <w:sz w:val="24"/>
          <w:szCs w:val="24"/>
        </w:rPr>
        <w:fldChar w:fldCharType="end"/>
      </w:r>
    </w:p>
    <w:p>
      <w:pPr>
        <w:pStyle w:val="33"/>
        <w:keepNext w:val="0"/>
        <w:keepLines w:val="0"/>
        <w:pageBreakBefore w:val="0"/>
        <w:widowControl w:val="0"/>
        <w:tabs>
          <w:tab w:val="right" w:leader="dot" w:pos="9174"/>
        </w:tabs>
        <w:kinsoku/>
        <w:wordWrap/>
        <w:overflowPunct/>
        <w:topLinePunct w:val="0"/>
        <w:autoSpaceDE/>
        <w:autoSpaceDN/>
        <w:bidi w:val="0"/>
        <w:adjustRightInd/>
        <w:snapToGrid/>
        <w:spacing w:line="440" w:lineRule="exact"/>
        <w:textAlignment w:val="auto"/>
        <w:rPr>
          <w:rFonts w:ascii="宋体" w:hAnsi="宋体"/>
          <w:b/>
          <w:bCs w:val="0"/>
          <w:smallCaps w:val="0"/>
          <w:color w:val="auto"/>
          <w:sz w:val="24"/>
          <w:szCs w:val="24"/>
        </w:rPr>
      </w:pPr>
      <w:r>
        <w:rPr>
          <w:b/>
          <w:bCs w:val="0"/>
          <w:color w:val="auto"/>
          <w:sz w:val="24"/>
          <w:szCs w:val="24"/>
        </w:rPr>
        <w:fldChar w:fldCharType="begin"/>
      </w:r>
      <w:r>
        <w:rPr>
          <w:b/>
          <w:bCs w:val="0"/>
          <w:color w:val="auto"/>
          <w:sz w:val="24"/>
          <w:szCs w:val="24"/>
        </w:rPr>
        <w:instrText xml:space="preserve"> HYPERLINK \l "_Toc150262782" </w:instrText>
      </w:r>
      <w:r>
        <w:rPr>
          <w:b/>
          <w:bCs w:val="0"/>
          <w:color w:val="auto"/>
          <w:sz w:val="24"/>
          <w:szCs w:val="24"/>
        </w:rPr>
        <w:fldChar w:fldCharType="separate"/>
      </w:r>
      <w:r>
        <w:rPr>
          <w:rStyle w:val="47"/>
          <w:rFonts w:ascii="宋体" w:hAnsi="宋体"/>
          <w:b/>
          <w:bCs w:val="0"/>
          <w:color w:val="auto"/>
          <w:sz w:val="24"/>
          <w:szCs w:val="24"/>
        </w:rPr>
        <w:t>3.8排土场单元评价</w:t>
      </w:r>
      <w:r>
        <w:rPr>
          <w:rFonts w:ascii="宋体" w:hAnsi="宋体"/>
          <w:b/>
          <w:bCs w:val="0"/>
          <w:color w:val="auto"/>
          <w:sz w:val="24"/>
          <w:szCs w:val="24"/>
        </w:rPr>
        <w:tab/>
      </w:r>
      <w:r>
        <w:rPr>
          <w:rFonts w:ascii="宋体" w:hAnsi="宋体"/>
          <w:b/>
          <w:bCs w:val="0"/>
          <w:color w:val="auto"/>
          <w:sz w:val="24"/>
          <w:szCs w:val="24"/>
        </w:rPr>
        <w:fldChar w:fldCharType="begin"/>
      </w:r>
      <w:r>
        <w:rPr>
          <w:rFonts w:ascii="宋体" w:hAnsi="宋体"/>
          <w:b/>
          <w:bCs w:val="0"/>
          <w:color w:val="auto"/>
          <w:sz w:val="24"/>
          <w:szCs w:val="24"/>
        </w:rPr>
        <w:instrText xml:space="preserve"> PAGEREF _Toc150262782 \h </w:instrText>
      </w:r>
      <w:r>
        <w:rPr>
          <w:rFonts w:ascii="宋体" w:hAnsi="宋体"/>
          <w:b/>
          <w:bCs w:val="0"/>
          <w:color w:val="auto"/>
          <w:sz w:val="24"/>
          <w:szCs w:val="24"/>
        </w:rPr>
        <w:fldChar w:fldCharType="separate"/>
      </w:r>
      <w:r>
        <w:rPr>
          <w:rFonts w:ascii="宋体" w:hAnsi="宋体"/>
          <w:b/>
          <w:bCs w:val="0"/>
          <w:color w:val="auto"/>
          <w:sz w:val="24"/>
          <w:szCs w:val="24"/>
        </w:rPr>
        <w:t>33</w:t>
      </w:r>
      <w:r>
        <w:rPr>
          <w:rFonts w:ascii="宋体" w:hAnsi="宋体"/>
          <w:b/>
          <w:bCs w:val="0"/>
          <w:color w:val="auto"/>
          <w:sz w:val="24"/>
          <w:szCs w:val="24"/>
        </w:rPr>
        <w:fldChar w:fldCharType="end"/>
      </w:r>
      <w:r>
        <w:rPr>
          <w:rFonts w:ascii="宋体" w:hAnsi="宋体"/>
          <w:b/>
          <w:bCs w:val="0"/>
          <w:color w:val="auto"/>
          <w:sz w:val="24"/>
          <w:szCs w:val="24"/>
        </w:rPr>
        <w:fldChar w:fldCharType="end"/>
      </w:r>
    </w:p>
    <w:p>
      <w:pPr>
        <w:pStyle w:val="33"/>
        <w:keepNext w:val="0"/>
        <w:keepLines w:val="0"/>
        <w:pageBreakBefore w:val="0"/>
        <w:widowControl w:val="0"/>
        <w:tabs>
          <w:tab w:val="right" w:leader="dot" w:pos="9174"/>
        </w:tabs>
        <w:kinsoku/>
        <w:wordWrap/>
        <w:overflowPunct/>
        <w:topLinePunct w:val="0"/>
        <w:autoSpaceDE/>
        <w:autoSpaceDN/>
        <w:bidi w:val="0"/>
        <w:adjustRightInd/>
        <w:snapToGrid/>
        <w:spacing w:line="440" w:lineRule="exact"/>
        <w:textAlignment w:val="auto"/>
        <w:rPr>
          <w:rFonts w:ascii="宋体" w:hAnsi="宋体"/>
          <w:b/>
          <w:bCs w:val="0"/>
          <w:smallCaps w:val="0"/>
          <w:color w:val="auto"/>
          <w:sz w:val="24"/>
          <w:szCs w:val="24"/>
        </w:rPr>
      </w:pPr>
      <w:r>
        <w:rPr>
          <w:b/>
          <w:bCs w:val="0"/>
          <w:color w:val="auto"/>
          <w:sz w:val="24"/>
          <w:szCs w:val="24"/>
        </w:rPr>
        <w:fldChar w:fldCharType="begin"/>
      </w:r>
      <w:r>
        <w:rPr>
          <w:b/>
          <w:bCs w:val="0"/>
          <w:color w:val="auto"/>
          <w:sz w:val="24"/>
          <w:szCs w:val="24"/>
        </w:rPr>
        <w:instrText xml:space="preserve"> HYPERLINK \l "_Toc150262783" </w:instrText>
      </w:r>
      <w:r>
        <w:rPr>
          <w:b/>
          <w:bCs w:val="0"/>
          <w:color w:val="auto"/>
          <w:sz w:val="24"/>
          <w:szCs w:val="24"/>
        </w:rPr>
        <w:fldChar w:fldCharType="separate"/>
      </w:r>
      <w:r>
        <w:rPr>
          <w:rStyle w:val="47"/>
          <w:rFonts w:ascii="宋体" w:hAnsi="宋体"/>
          <w:b/>
          <w:bCs w:val="0"/>
          <w:color w:val="auto"/>
          <w:kern w:val="28"/>
          <w:sz w:val="24"/>
          <w:szCs w:val="24"/>
        </w:rPr>
        <w:t>3.9安全管理及其他单元评价</w:t>
      </w:r>
      <w:r>
        <w:rPr>
          <w:rFonts w:ascii="宋体" w:hAnsi="宋体"/>
          <w:b/>
          <w:bCs w:val="0"/>
          <w:color w:val="auto"/>
          <w:sz w:val="24"/>
          <w:szCs w:val="24"/>
        </w:rPr>
        <w:tab/>
      </w:r>
      <w:r>
        <w:rPr>
          <w:rFonts w:ascii="宋体" w:hAnsi="宋体"/>
          <w:b/>
          <w:bCs w:val="0"/>
          <w:color w:val="auto"/>
          <w:sz w:val="24"/>
          <w:szCs w:val="24"/>
        </w:rPr>
        <w:fldChar w:fldCharType="begin"/>
      </w:r>
      <w:r>
        <w:rPr>
          <w:rFonts w:ascii="宋体" w:hAnsi="宋体"/>
          <w:b/>
          <w:bCs w:val="0"/>
          <w:color w:val="auto"/>
          <w:sz w:val="24"/>
          <w:szCs w:val="24"/>
        </w:rPr>
        <w:instrText xml:space="preserve"> PAGEREF _Toc150262783 \h </w:instrText>
      </w:r>
      <w:r>
        <w:rPr>
          <w:rFonts w:ascii="宋体" w:hAnsi="宋体"/>
          <w:b/>
          <w:bCs w:val="0"/>
          <w:color w:val="auto"/>
          <w:sz w:val="24"/>
          <w:szCs w:val="24"/>
        </w:rPr>
        <w:fldChar w:fldCharType="separate"/>
      </w:r>
      <w:r>
        <w:rPr>
          <w:rFonts w:ascii="宋体" w:hAnsi="宋体"/>
          <w:b/>
          <w:bCs w:val="0"/>
          <w:color w:val="auto"/>
          <w:sz w:val="24"/>
          <w:szCs w:val="24"/>
        </w:rPr>
        <w:t>35</w:t>
      </w:r>
      <w:r>
        <w:rPr>
          <w:rFonts w:ascii="宋体" w:hAnsi="宋体"/>
          <w:b/>
          <w:bCs w:val="0"/>
          <w:color w:val="auto"/>
          <w:sz w:val="24"/>
          <w:szCs w:val="24"/>
        </w:rPr>
        <w:fldChar w:fldCharType="end"/>
      </w:r>
      <w:r>
        <w:rPr>
          <w:rFonts w:ascii="宋体" w:hAnsi="宋体"/>
          <w:b/>
          <w:bCs w:val="0"/>
          <w:color w:val="auto"/>
          <w:sz w:val="24"/>
          <w:szCs w:val="24"/>
        </w:rPr>
        <w:fldChar w:fldCharType="end"/>
      </w:r>
    </w:p>
    <w:p>
      <w:pPr>
        <w:pStyle w:val="33"/>
        <w:keepNext w:val="0"/>
        <w:keepLines w:val="0"/>
        <w:pageBreakBefore w:val="0"/>
        <w:widowControl w:val="0"/>
        <w:tabs>
          <w:tab w:val="right" w:leader="dot" w:pos="9174"/>
        </w:tabs>
        <w:kinsoku/>
        <w:wordWrap/>
        <w:overflowPunct/>
        <w:topLinePunct w:val="0"/>
        <w:autoSpaceDE/>
        <w:autoSpaceDN/>
        <w:bidi w:val="0"/>
        <w:adjustRightInd/>
        <w:snapToGrid/>
        <w:spacing w:line="440" w:lineRule="exact"/>
        <w:textAlignment w:val="auto"/>
        <w:rPr>
          <w:rFonts w:ascii="宋体" w:hAnsi="宋体"/>
          <w:b/>
          <w:bCs w:val="0"/>
          <w:smallCaps w:val="0"/>
          <w:color w:val="auto"/>
          <w:sz w:val="24"/>
          <w:szCs w:val="24"/>
        </w:rPr>
      </w:pPr>
      <w:r>
        <w:rPr>
          <w:b/>
          <w:bCs w:val="0"/>
          <w:color w:val="auto"/>
          <w:sz w:val="24"/>
          <w:szCs w:val="24"/>
        </w:rPr>
        <w:fldChar w:fldCharType="begin"/>
      </w:r>
      <w:r>
        <w:rPr>
          <w:b/>
          <w:bCs w:val="0"/>
          <w:color w:val="auto"/>
          <w:sz w:val="24"/>
          <w:szCs w:val="24"/>
        </w:rPr>
        <w:instrText xml:space="preserve"> HYPERLINK \l "_Toc150262784" </w:instrText>
      </w:r>
      <w:r>
        <w:rPr>
          <w:b/>
          <w:bCs w:val="0"/>
          <w:color w:val="auto"/>
          <w:sz w:val="24"/>
          <w:szCs w:val="24"/>
        </w:rPr>
        <w:fldChar w:fldCharType="separate"/>
      </w:r>
      <w:r>
        <w:rPr>
          <w:rStyle w:val="47"/>
          <w:rFonts w:ascii="宋体" w:hAnsi="宋体"/>
          <w:b/>
          <w:bCs w:val="0"/>
          <w:color w:val="auto"/>
          <w:kern w:val="28"/>
          <w:sz w:val="24"/>
          <w:szCs w:val="24"/>
        </w:rPr>
        <w:t>3.10重大危险源辨识</w:t>
      </w:r>
      <w:r>
        <w:rPr>
          <w:rFonts w:ascii="宋体" w:hAnsi="宋体"/>
          <w:b/>
          <w:bCs w:val="0"/>
          <w:color w:val="auto"/>
          <w:sz w:val="24"/>
          <w:szCs w:val="24"/>
        </w:rPr>
        <w:tab/>
      </w:r>
      <w:r>
        <w:rPr>
          <w:rFonts w:ascii="宋体" w:hAnsi="宋体"/>
          <w:b/>
          <w:bCs w:val="0"/>
          <w:color w:val="auto"/>
          <w:sz w:val="24"/>
          <w:szCs w:val="24"/>
        </w:rPr>
        <w:fldChar w:fldCharType="begin"/>
      </w:r>
      <w:r>
        <w:rPr>
          <w:rFonts w:ascii="宋体" w:hAnsi="宋体"/>
          <w:b/>
          <w:bCs w:val="0"/>
          <w:color w:val="auto"/>
          <w:sz w:val="24"/>
          <w:szCs w:val="24"/>
        </w:rPr>
        <w:instrText xml:space="preserve"> PAGEREF _Toc150262784 \h </w:instrText>
      </w:r>
      <w:r>
        <w:rPr>
          <w:rFonts w:ascii="宋体" w:hAnsi="宋体"/>
          <w:b/>
          <w:bCs w:val="0"/>
          <w:color w:val="auto"/>
          <w:sz w:val="24"/>
          <w:szCs w:val="24"/>
        </w:rPr>
        <w:fldChar w:fldCharType="separate"/>
      </w:r>
      <w:r>
        <w:rPr>
          <w:rFonts w:ascii="宋体" w:hAnsi="宋体"/>
          <w:b/>
          <w:bCs w:val="0"/>
          <w:color w:val="auto"/>
          <w:sz w:val="24"/>
          <w:szCs w:val="24"/>
        </w:rPr>
        <w:t>37</w:t>
      </w:r>
      <w:r>
        <w:rPr>
          <w:rFonts w:ascii="宋体" w:hAnsi="宋体"/>
          <w:b/>
          <w:bCs w:val="0"/>
          <w:color w:val="auto"/>
          <w:sz w:val="24"/>
          <w:szCs w:val="24"/>
        </w:rPr>
        <w:fldChar w:fldCharType="end"/>
      </w:r>
      <w:r>
        <w:rPr>
          <w:rFonts w:ascii="宋体" w:hAnsi="宋体"/>
          <w:b/>
          <w:bCs w:val="0"/>
          <w:color w:val="auto"/>
          <w:sz w:val="24"/>
          <w:szCs w:val="24"/>
        </w:rPr>
        <w:fldChar w:fldCharType="end"/>
      </w:r>
    </w:p>
    <w:p>
      <w:pPr>
        <w:pStyle w:val="33"/>
        <w:keepNext w:val="0"/>
        <w:keepLines w:val="0"/>
        <w:pageBreakBefore w:val="0"/>
        <w:widowControl w:val="0"/>
        <w:tabs>
          <w:tab w:val="right" w:leader="dot" w:pos="9174"/>
        </w:tabs>
        <w:kinsoku/>
        <w:wordWrap/>
        <w:overflowPunct/>
        <w:topLinePunct w:val="0"/>
        <w:autoSpaceDE/>
        <w:autoSpaceDN/>
        <w:bidi w:val="0"/>
        <w:adjustRightInd/>
        <w:snapToGrid/>
        <w:spacing w:line="440" w:lineRule="exact"/>
        <w:textAlignment w:val="auto"/>
        <w:rPr>
          <w:rFonts w:ascii="宋体" w:hAnsi="宋体"/>
          <w:b/>
          <w:bCs w:val="0"/>
          <w:smallCaps w:val="0"/>
          <w:color w:val="auto"/>
          <w:sz w:val="24"/>
          <w:szCs w:val="24"/>
        </w:rPr>
      </w:pPr>
      <w:r>
        <w:rPr>
          <w:b/>
          <w:bCs w:val="0"/>
          <w:color w:val="auto"/>
          <w:sz w:val="24"/>
          <w:szCs w:val="24"/>
        </w:rPr>
        <w:fldChar w:fldCharType="begin"/>
      </w:r>
      <w:r>
        <w:rPr>
          <w:b/>
          <w:bCs w:val="0"/>
          <w:color w:val="auto"/>
          <w:sz w:val="24"/>
          <w:szCs w:val="24"/>
        </w:rPr>
        <w:instrText xml:space="preserve"> HYPERLINK \l "_Toc150262785" </w:instrText>
      </w:r>
      <w:r>
        <w:rPr>
          <w:b/>
          <w:bCs w:val="0"/>
          <w:color w:val="auto"/>
          <w:sz w:val="24"/>
          <w:szCs w:val="24"/>
        </w:rPr>
        <w:fldChar w:fldCharType="separate"/>
      </w:r>
      <w:r>
        <w:rPr>
          <w:rStyle w:val="47"/>
          <w:rFonts w:ascii="宋体" w:hAnsi="宋体"/>
          <w:b/>
          <w:bCs w:val="0"/>
          <w:color w:val="auto"/>
          <w:kern w:val="28"/>
          <w:sz w:val="24"/>
          <w:szCs w:val="24"/>
        </w:rPr>
        <w:t>3.11小结</w:t>
      </w:r>
      <w:r>
        <w:rPr>
          <w:rFonts w:ascii="宋体" w:hAnsi="宋体"/>
          <w:b/>
          <w:bCs w:val="0"/>
          <w:color w:val="auto"/>
          <w:sz w:val="24"/>
          <w:szCs w:val="24"/>
        </w:rPr>
        <w:tab/>
      </w:r>
      <w:r>
        <w:rPr>
          <w:rFonts w:ascii="宋体" w:hAnsi="宋体"/>
          <w:b/>
          <w:bCs w:val="0"/>
          <w:color w:val="auto"/>
          <w:sz w:val="24"/>
          <w:szCs w:val="24"/>
        </w:rPr>
        <w:fldChar w:fldCharType="begin"/>
      </w:r>
      <w:r>
        <w:rPr>
          <w:rFonts w:ascii="宋体" w:hAnsi="宋体"/>
          <w:b/>
          <w:bCs w:val="0"/>
          <w:color w:val="auto"/>
          <w:sz w:val="24"/>
          <w:szCs w:val="24"/>
        </w:rPr>
        <w:instrText xml:space="preserve"> PAGEREF _Toc150262785 \h </w:instrText>
      </w:r>
      <w:r>
        <w:rPr>
          <w:rFonts w:ascii="宋体" w:hAnsi="宋体"/>
          <w:b/>
          <w:bCs w:val="0"/>
          <w:color w:val="auto"/>
          <w:sz w:val="24"/>
          <w:szCs w:val="24"/>
        </w:rPr>
        <w:fldChar w:fldCharType="separate"/>
      </w:r>
      <w:r>
        <w:rPr>
          <w:rFonts w:ascii="宋体" w:hAnsi="宋体"/>
          <w:b/>
          <w:bCs w:val="0"/>
          <w:color w:val="auto"/>
          <w:sz w:val="24"/>
          <w:szCs w:val="24"/>
        </w:rPr>
        <w:t>37</w:t>
      </w:r>
      <w:r>
        <w:rPr>
          <w:rFonts w:ascii="宋体" w:hAnsi="宋体"/>
          <w:b/>
          <w:bCs w:val="0"/>
          <w:color w:val="auto"/>
          <w:sz w:val="24"/>
          <w:szCs w:val="24"/>
        </w:rPr>
        <w:fldChar w:fldCharType="end"/>
      </w:r>
      <w:r>
        <w:rPr>
          <w:rFonts w:ascii="宋体" w:hAnsi="宋体"/>
          <w:b/>
          <w:bCs w:val="0"/>
          <w:color w:val="auto"/>
          <w:sz w:val="24"/>
          <w:szCs w:val="24"/>
        </w:rPr>
        <w:fldChar w:fldCharType="end"/>
      </w:r>
    </w:p>
    <w:p>
      <w:pPr>
        <w:pStyle w:val="29"/>
        <w:keepNext w:val="0"/>
        <w:keepLines w:val="0"/>
        <w:pageBreakBefore w:val="0"/>
        <w:widowControl w:val="0"/>
        <w:kinsoku/>
        <w:wordWrap/>
        <w:overflowPunct/>
        <w:topLinePunct w:val="0"/>
        <w:autoSpaceDE/>
        <w:autoSpaceDN/>
        <w:bidi w:val="0"/>
        <w:adjustRightInd/>
        <w:snapToGrid/>
        <w:spacing w:before="0" w:after="0" w:line="440" w:lineRule="exact"/>
        <w:textAlignment w:val="auto"/>
        <w:rPr>
          <w:rFonts w:ascii="宋体" w:eastAsia="宋体"/>
          <w:b/>
          <w:bCs w:val="0"/>
          <w:caps w:val="0"/>
          <w:color w:val="auto"/>
          <w:sz w:val="24"/>
          <w:szCs w:val="24"/>
        </w:rPr>
      </w:pPr>
      <w:r>
        <w:rPr>
          <w:b/>
          <w:bCs w:val="0"/>
          <w:color w:val="auto"/>
          <w:sz w:val="24"/>
          <w:szCs w:val="24"/>
        </w:rPr>
        <w:fldChar w:fldCharType="begin"/>
      </w:r>
      <w:r>
        <w:rPr>
          <w:b/>
          <w:bCs w:val="0"/>
          <w:color w:val="auto"/>
          <w:sz w:val="24"/>
          <w:szCs w:val="24"/>
        </w:rPr>
        <w:instrText xml:space="preserve"> HYPERLINK \l "_Toc150262786" </w:instrText>
      </w:r>
      <w:r>
        <w:rPr>
          <w:b/>
          <w:bCs w:val="0"/>
          <w:color w:val="auto"/>
          <w:sz w:val="24"/>
          <w:szCs w:val="24"/>
        </w:rPr>
        <w:fldChar w:fldCharType="separate"/>
      </w:r>
      <w:r>
        <w:rPr>
          <w:rStyle w:val="47"/>
          <w:rFonts w:ascii="宋体" w:eastAsia="宋体"/>
          <w:b/>
          <w:bCs w:val="0"/>
          <w:color w:val="auto"/>
          <w:kern w:val="30"/>
          <w:sz w:val="24"/>
          <w:szCs w:val="24"/>
        </w:rPr>
        <w:t>4安全对策措施及建议</w:t>
      </w:r>
      <w:r>
        <w:rPr>
          <w:rFonts w:ascii="宋体" w:eastAsia="宋体"/>
          <w:b/>
          <w:bCs w:val="0"/>
          <w:color w:val="auto"/>
          <w:sz w:val="24"/>
          <w:szCs w:val="24"/>
        </w:rPr>
        <w:tab/>
      </w:r>
      <w:r>
        <w:rPr>
          <w:rFonts w:ascii="宋体" w:eastAsia="宋体"/>
          <w:b/>
          <w:bCs w:val="0"/>
          <w:color w:val="auto"/>
          <w:sz w:val="24"/>
          <w:szCs w:val="24"/>
        </w:rPr>
        <w:fldChar w:fldCharType="begin"/>
      </w:r>
      <w:r>
        <w:rPr>
          <w:rFonts w:ascii="宋体" w:eastAsia="宋体"/>
          <w:b/>
          <w:bCs w:val="0"/>
          <w:color w:val="auto"/>
          <w:sz w:val="24"/>
          <w:szCs w:val="24"/>
        </w:rPr>
        <w:instrText xml:space="preserve"> PAGEREF _Toc150262786 \h </w:instrText>
      </w:r>
      <w:r>
        <w:rPr>
          <w:rFonts w:ascii="宋体" w:eastAsia="宋体"/>
          <w:b/>
          <w:bCs w:val="0"/>
          <w:color w:val="auto"/>
          <w:sz w:val="24"/>
          <w:szCs w:val="24"/>
        </w:rPr>
        <w:fldChar w:fldCharType="separate"/>
      </w:r>
      <w:r>
        <w:rPr>
          <w:rFonts w:ascii="宋体" w:eastAsia="宋体"/>
          <w:b/>
          <w:bCs w:val="0"/>
          <w:color w:val="auto"/>
          <w:sz w:val="24"/>
          <w:szCs w:val="24"/>
        </w:rPr>
        <w:t>39</w:t>
      </w:r>
      <w:r>
        <w:rPr>
          <w:rFonts w:ascii="宋体" w:eastAsia="宋体"/>
          <w:b/>
          <w:bCs w:val="0"/>
          <w:color w:val="auto"/>
          <w:sz w:val="24"/>
          <w:szCs w:val="24"/>
        </w:rPr>
        <w:fldChar w:fldCharType="end"/>
      </w:r>
      <w:r>
        <w:rPr>
          <w:rFonts w:ascii="宋体" w:eastAsia="宋体"/>
          <w:b/>
          <w:bCs w:val="0"/>
          <w:color w:val="auto"/>
          <w:sz w:val="24"/>
          <w:szCs w:val="24"/>
        </w:rPr>
        <w:fldChar w:fldCharType="end"/>
      </w:r>
    </w:p>
    <w:p>
      <w:pPr>
        <w:pStyle w:val="33"/>
        <w:keepNext w:val="0"/>
        <w:keepLines w:val="0"/>
        <w:pageBreakBefore w:val="0"/>
        <w:widowControl w:val="0"/>
        <w:tabs>
          <w:tab w:val="right" w:leader="dot" w:pos="9174"/>
        </w:tabs>
        <w:kinsoku/>
        <w:wordWrap/>
        <w:overflowPunct/>
        <w:topLinePunct w:val="0"/>
        <w:autoSpaceDE/>
        <w:autoSpaceDN/>
        <w:bidi w:val="0"/>
        <w:adjustRightInd/>
        <w:snapToGrid/>
        <w:spacing w:line="440" w:lineRule="exact"/>
        <w:textAlignment w:val="auto"/>
        <w:rPr>
          <w:rFonts w:ascii="宋体" w:hAnsi="宋体"/>
          <w:b/>
          <w:bCs w:val="0"/>
          <w:smallCaps w:val="0"/>
          <w:color w:val="auto"/>
          <w:sz w:val="24"/>
          <w:szCs w:val="24"/>
        </w:rPr>
      </w:pPr>
      <w:r>
        <w:rPr>
          <w:b/>
          <w:bCs w:val="0"/>
          <w:color w:val="auto"/>
          <w:sz w:val="24"/>
          <w:szCs w:val="24"/>
        </w:rPr>
        <w:fldChar w:fldCharType="begin"/>
      </w:r>
      <w:r>
        <w:rPr>
          <w:b/>
          <w:bCs w:val="0"/>
          <w:color w:val="auto"/>
          <w:sz w:val="24"/>
          <w:szCs w:val="24"/>
        </w:rPr>
        <w:instrText xml:space="preserve"> HYPERLINK \l "_Toc150262787" </w:instrText>
      </w:r>
      <w:r>
        <w:rPr>
          <w:b/>
          <w:bCs w:val="0"/>
          <w:color w:val="auto"/>
          <w:sz w:val="24"/>
          <w:szCs w:val="24"/>
        </w:rPr>
        <w:fldChar w:fldCharType="separate"/>
      </w:r>
      <w:r>
        <w:rPr>
          <w:rStyle w:val="47"/>
          <w:rFonts w:ascii="宋体" w:hAnsi="宋体"/>
          <w:b/>
          <w:bCs w:val="0"/>
          <w:color w:val="auto"/>
          <w:kern w:val="28"/>
          <w:sz w:val="24"/>
          <w:szCs w:val="24"/>
        </w:rPr>
        <w:t>4.1安全技术对策措施</w:t>
      </w:r>
      <w:r>
        <w:rPr>
          <w:rFonts w:ascii="宋体" w:hAnsi="宋体"/>
          <w:b/>
          <w:bCs w:val="0"/>
          <w:color w:val="auto"/>
          <w:sz w:val="24"/>
          <w:szCs w:val="24"/>
        </w:rPr>
        <w:tab/>
      </w:r>
      <w:r>
        <w:rPr>
          <w:rFonts w:ascii="宋体" w:hAnsi="宋体"/>
          <w:b/>
          <w:bCs w:val="0"/>
          <w:color w:val="auto"/>
          <w:sz w:val="24"/>
          <w:szCs w:val="24"/>
        </w:rPr>
        <w:fldChar w:fldCharType="begin"/>
      </w:r>
      <w:r>
        <w:rPr>
          <w:rFonts w:ascii="宋体" w:hAnsi="宋体"/>
          <w:b/>
          <w:bCs w:val="0"/>
          <w:color w:val="auto"/>
          <w:sz w:val="24"/>
          <w:szCs w:val="24"/>
        </w:rPr>
        <w:instrText xml:space="preserve"> PAGEREF _Toc150262787 \h </w:instrText>
      </w:r>
      <w:r>
        <w:rPr>
          <w:rFonts w:ascii="宋体" w:hAnsi="宋体"/>
          <w:b/>
          <w:bCs w:val="0"/>
          <w:color w:val="auto"/>
          <w:sz w:val="24"/>
          <w:szCs w:val="24"/>
        </w:rPr>
        <w:fldChar w:fldCharType="separate"/>
      </w:r>
      <w:r>
        <w:rPr>
          <w:rFonts w:ascii="宋体" w:hAnsi="宋体"/>
          <w:b/>
          <w:bCs w:val="0"/>
          <w:color w:val="auto"/>
          <w:sz w:val="24"/>
          <w:szCs w:val="24"/>
        </w:rPr>
        <w:t>39</w:t>
      </w:r>
      <w:r>
        <w:rPr>
          <w:rFonts w:ascii="宋体" w:hAnsi="宋体"/>
          <w:b/>
          <w:bCs w:val="0"/>
          <w:color w:val="auto"/>
          <w:sz w:val="24"/>
          <w:szCs w:val="24"/>
        </w:rPr>
        <w:fldChar w:fldCharType="end"/>
      </w:r>
      <w:r>
        <w:rPr>
          <w:rFonts w:ascii="宋体" w:hAnsi="宋体"/>
          <w:b/>
          <w:bCs w:val="0"/>
          <w:color w:val="auto"/>
          <w:sz w:val="24"/>
          <w:szCs w:val="24"/>
        </w:rPr>
        <w:fldChar w:fldCharType="end"/>
      </w:r>
    </w:p>
    <w:p>
      <w:pPr>
        <w:pStyle w:val="33"/>
        <w:keepNext w:val="0"/>
        <w:keepLines w:val="0"/>
        <w:pageBreakBefore w:val="0"/>
        <w:widowControl w:val="0"/>
        <w:tabs>
          <w:tab w:val="right" w:leader="dot" w:pos="9174"/>
        </w:tabs>
        <w:kinsoku/>
        <w:wordWrap/>
        <w:overflowPunct/>
        <w:topLinePunct w:val="0"/>
        <w:autoSpaceDE/>
        <w:autoSpaceDN/>
        <w:bidi w:val="0"/>
        <w:adjustRightInd/>
        <w:snapToGrid/>
        <w:spacing w:line="440" w:lineRule="exact"/>
        <w:textAlignment w:val="auto"/>
        <w:rPr>
          <w:rFonts w:ascii="宋体" w:hAnsi="宋体"/>
          <w:b/>
          <w:bCs w:val="0"/>
          <w:smallCaps w:val="0"/>
          <w:color w:val="auto"/>
          <w:sz w:val="24"/>
          <w:szCs w:val="24"/>
        </w:rPr>
      </w:pPr>
      <w:r>
        <w:rPr>
          <w:b/>
          <w:bCs w:val="0"/>
          <w:color w:val="auto"/>
          <w:sz w:val="24"/>
          <w:szCs w:val="24"/>
        </w:rPr>
        <w:fldChar w:fldCharType="begin"/>
      </w:r>
      <w:r>
        <w:rPr>
          <w:b/>
          <w:bCs w:val="0"/>
          <w:color w:val="auto"/>
          <w:sz w:val="24"/>
          <w:szCs w:val="24"/>
        </w:rPr>
        <w:instrText xml:space="preserve"> HYPERLINK \l "_Toc150262788" </w:instrText>
      </w:r>
      <w:r>
        <w:rPr>
          <w:b/>
          <w:bCs w:val="0"/>
          <w:color w:val="auto"/>
          <w:sz w:val="24"/>
          <w:szCs w:val="24"/>
        </w:rPr>
        <w:fldChar w:fldCharType="separate"/>
      </w:r>
      <w:r>
        <w:rPr>
          <w:rStyle w:val="47"/>
          <w:rFonts w:ascii="宋体" w:hAnsi="宋体"/>
          <w:b/>
          <w:bCs w:val="0"/>
          <w:color w:val="auto"/>
          <w:kern w:val="28"/>
          <w:sz w:val="24"/>
          <w:szCs w:val="24"/>
        </w:rPr>
        <w:t>4.2安全管理措施</w:t>
      </w:r>
      <w:r>
        <w:rPr>
          <w:rFonts w:ascii="宋体" w:hAnsi="宋体"/>
          <w:b/>
          <w:bCs w:val="0"/>
          <w:color w:val="auto"/>
          <w:sz w:val="24"/>
          <w:szCs w:val="24"/>
        </w:rPr>
        <w:tab/>
      </w:r>
      <w:r>
        <w:rPr>
          <w:rFonts w:ascii="宋体" w:hAnsi="宋体"/>
          <w:b/>
          <w:bCs w:val="0"/>
          <w:color w:val="auto"/>
          <w:sz w:val="24"/>
          <w:szCs w:val="24"/>
        </w:rPr>
        <w:fldChar w:fldCharType="begin"/>
      </w:r>
      <w:r>
        <w:rPr>
          <w:rFonts w:ascii="宋体" w:hAnsi="宋体"/>
          <w:b/>
          <w:bCs w:val="0"/>
          <w:color w:val="auto"/>
          <w:sz w:val="24"/>
          <w:szCs w:val="24"/>
        </w:rPr>
        <w:instrText xml:space="preserve"> PAGEREF _Toc150262788 \h </w:instrText>
      </w:r>
      <w:r>
        <w:rPr>
          <w:rFonts w:ascii="宋体" w:hAnsi="宋体"/>
          <w:b/>
          <w:bCs w:val="0"/>
          <w:color w:val="auto"/>
          <w:sz w:val="24"/>
          <w:szCs w:val="24"/>
        </w:rPr>
        <w:fldChar w:fldCharType="separate"/>
      </w:r>
      <w:r>
        <w:rPr>
          <w:rFonts w:ascii="宋体" w:hAnsi="宋体"/>
          <w:b/>
          <w:bCs w:val="0"/>
          <w:color w:val="auto"/>
          <w:sz w:val="24"/>
          <w:szCs w:val="24"/>
        </w:rPr>
        <w:t>44</w:t>
      </w:r>
      <w:r>
        <w:rPr>
          <w:rFonts w:ascii="宋体" w:hAnsi="宋体"/>
          <w:b/>
          <w:bCs w:val="0"/>
          <w:color w:val="auto"/>
          <w:sz w:val="24"/>
          <w:szCs w:val="24"/>
        </w:rPr>
        <w:fldChar w:fldCharType="end"/>
      </w:r>
      <w:r>
        <w:rPr>
          <w:rFonts w:ascii="宋体" w:hAnsi="宋体"/>
          <w:b/>
          <w:bCs w:val="0"/>
          <w:color w:val="auto"/>
          <w:sz w:val="24"/>
          <w:szCs w:val="24"/>
        </w:rPr>
        <w:fldChar w:fldCharType="end"/>
      </w:r>
    </w:p>
    <w:p>
      <w:pPr>
        <w:pStyle w:val="29"/>
        <w:keepNext w:val="0"/>
        <w:keepLines w:val="0"/>
        <w:pageBreakBefore w:val="0"/>
        <w:widowControl w:val="0"/>
        <w:kinsoku/>
        <w:wordWrap/>
        <w:overflowPunct/>
        <w:topLinePunct w:val="0"/>
        <w:autoSpaceDE/>
        <w:autoSpaceDN/>
        <w:bidi w:val="0"/>
        <w:adjustRightInd/>
        <w:snapToGrid/>
        <w:spacing w:before="0" w:after="0" w:line="440" w:lineRule="exact"/>
        <w:textAlignment w:val="auto"/>
        <w:rPr>
          <w:rFonts w:ascii="宋体" w:eastAsia="宋体"/>
          <w:b/>
          <w:bCs w:val="0"/>
          <w:caps w:val="0"/>
          <w:color w:val="auto"/>
          <w:sz w:val="24"/>
          <w:szCs w:val="24"/>
        </w:rPr>
      </w:pPr>
      <w:r>
        <w:rPr>
          <w:b/>
          <w:bCs w:val="0"/>
          <w:color w:val="auto"/>
          <w:sz w:val="24"/>
          <w:szCs w:val="24"/>
        </w:rPr>
        <w:fldChar w:fldCharType="begin"/>
      </w:r>
      <w:r>
        <w:rPr>
          <w:b/>
          <w:bCs w:val="0"/>
          <w:color w:val="auto"/>
          <w:sz w:val="24"/>
          <w:szCs w:val="24"/>
        </w:rPr>
        <w:instrText xml:space="preserve"> HYPERLINK \l "_Toc150262789" </w:instrText>
      </w:r>
      <w:r>
        <w:rPr>
          <w:b/>
          <w:bCs w:val="0"/>
          <w:color w:val="auto"/>
          <w:sz w:val="24"/>
          <w:szCs w:val="24"/>
        </w:rPr>
        <w:fldChar w:fldCharType="separate"/>
      </w:r>
      <w:r>
        <w:rPr>
          <w:rStyle w:val="47"/>
          <w:rFonts w:ascii="宋体" w:eastAsia="宋体"/>
          <w:b/>
          <w:bCs w:val="0"/>
          <w:color w:val="auto"/>
          <w:kern w:val="30"/>
          <w:sz w:val="24"/>
          <w:szCs w:val="24"/>
        </w:rPr>
        <w:t>5安全预评价结论</w:t>
      </w:r>
      <w:r>
        <w:rPr>
          <w:rFonts w:ascii="宋体" w:eastAsia="宋体"/>
          <w:b/>
          <w:bCs w:val="0"/>
          <w:color w:val="auto"/>
          <w:sz w:val="24"/>
          <w:szCs w:val="24"/>
        </w:rPr>
        <w:tab/>
      </w:r>
      <w:r>
        <w:rPr>
          <w:rFonts w:ascii="宋体" w:eastAsia="宋体"/>
          <w:b/>
          <w:bCs w:val="0"/>
          <w:color w:val="auto"/>
          <w:sz w:val="24"/>
          <w:szCs w:val="24"/>
        </w:rPr>
        <w:fldChar w:fldCharType="begin"/>
      </w:r>
      <w:r>
        <w:rPr>
          <w:rFonts w:ascii="宋体" w:eastAsia="宋体"/>
          <w:b/>
          <w:bCs w:val="0"/>
          <w:color w:val="auto"/>
          <w:sz w:val="24"/>
          <w:szCs w:val="24"/>
        </w:rPr>
        <w:instrText xml:space="preserve"> PAGEREF _Toc150262789 \h </w:instrText>
      </w:r>
      <w:r>
        <w:rPr>
          <w:rFonts w:ascii="宋体" w:eastAsia="宋体"/>
          <w:b/>
          <w:bCs w:val="0"/>
          <w:color w:val="auto"/>
          <w:sz w:val="24"/>
          <w:szCs w:val="24"/>
        </w:rPr>
        <w:fldChar w:fldCharType="separate"/>
      </w:r>
      <w:r>
        <w:rPr>
          <w:rFonts w:ascii="宋体" w:eastAsia="宋体"/>
          <w:b/>
          <w:bCs w:val="0"/>
          <w:color w:val="auto"/>
          <w:sz w:val="24"/>
          <w:szCs w:val="24"/>
        </w:rPr>
        <w:t>49</w:t>
      </w:r>
      <w:r>
        <w:rPr>
          <w:rFonts w:ascii="宋体" w:eastAsia="宋体"/>
          <w:b/>
          <w:bCs w:val="0"/>
          <w:color w:val="auto"/>
          <w:sz w:val="24"/>
          <w:szCs w:val="24"/>
        </w:rPr>
        <w:fldChar w:fldCharType="end"/>
      </w:r>
      <w:r>
        <w:rPr>
          <w:rFonts w:ascii="宋体" w:eastAsia="宋体"/>
          <w:b/>
          <w:bCs w:val="0"/>
          <w:color w:val="auto"/>
          <w:sz w:val="24"/>
          <w:szCs w:val="24"/>
        </w:rPr>
        <w:fldChar w:fldCharType="end"/>
      </w:r>
    </w:p>
    <w:p>
      <w:pPr>
        <w:pStyle w:val="33"/>
        <w:keepNext w:val="0"/>
        <w:keepLines w:val="0"/>
        <w:pageBreakBefore w:val="0"/>
        <w:widowControl w:val="0"/>
        <w:tabs>
          <w:tab w:val="right" w:leader="dot" w:pos="9174"/>
        </w:tabs>
        <w:kinsoku/>
        <w:wordWrap/>
        <w:overflowPunct/>
        <w:topLinePunct w:val="0"/>
        <w:autoSpaceDE/>
        <w:autoSpaceDN/>
        <w:bidi w:val="0"/>
        <w:adjustRightInd/>
        <w:snapToGrid/>
        <w:spacing w:line="440" w:lineRule="exact"/>
        <w:textAlignment w:val="auto"/>
        <w:rPr>
          <w:rFonts w:ascii="宋体" w:hAnsi="宋体"/>
          <w:b/>
          <w:bCs w:val="0"/>
          <w:smallCaps w:val="0"/>
          <w:color w:val="auto"/>
          <w:sz w:val="24"/>
          <w:szCs w:val="24"/>
        </w:rPr>
      </w:pPr>
      <w:r>
        <w:rPr>
          <w:b/>
          <w:bCs w:val="0"/>
          <w:color w:val="auto"/>
          <w:sz w:val="24"/>
          <w:szCs w:val="24"/>
        </w:rPr>
        <w:fldChar w:fldCharType="begin"/>
      </w:r>
      <w:r>
        <w:rPr>
          <w:b/>
          <w:bCs w:val="0"/>
          <w:color w:val="auto"/>
          <w:sz w:val="24"/>
          <w:szCs w:val="24"/>
        </w:rPr>
        <w:instrText xml:space="preserve"> HYPERLINK \l "_Toc150262790" </w:instrText>
      </w:r>
      <w:r>
        <w:rPr>
          <w:b/>
          <w:bCs w:val="0"/>
          <w:color w:val="auto"/>
          <w:sz w:val="24"/>
          <w:szCs w:val="24"/>
        </w:rPr>
        <w:fldChar w:fldCharType="separate"/>
      </w:r>
      <w:r>
        <w:rPr>
          <w:rStyle w:val="47"/>
          <w:rFonts w:ascii="宋体" w:hAnsi="宋体"/>
          <w:b/>
          <w:bCs w:val="0"/>
          <w:color w:val="auto"/>
          <w:kern w:val="28"/>
          <w:sz w:val="24"/>
          <w:szCs w:val="24"/>
        </w:rPr>
        <w:t>5.1主要危险、有害因素及应重点防范的重大危险有害因素</w:t>
      </w:r>
      <w:r>
        <w:rPr>
          <w:rFonts w:ascii="宋体" w:hAnsi="宋体"/>
          <w:b/>
          <w:bCs w:val="0"/>
          <w:color w:val="auto"/>
          <w:sz w:val="24"/>
          <w:szCs w:val="24"/>
        </w:rPr>
        <w:tab/>
      </w:r>
      <w:r>
        <w:rPr>
          <w:rFonts w:ascii="宋体" w:hAnsi="宋体"/>
          <w:b/>
          <w:bCs w:val="0"/>
          <w:color w:val="auto"/>
          <w:sz w:val="24"/>
          <w:szCs w:val="24"/>
        </w:rPr>
        <w:fldChar w:fldCharType="begin"/>
      </w:r>
      <w:r>
        <w:rPr>
          <w:rFonts w:ascii="宋体" w:hAnsi="宋体"/>
          <w:b/>
          <w:bCs w:val="0"/>
          <w:color w:val="auto"/>
          <w:sz w:val="24"/>
          <w:szCs w:val="24"/>
        </w:rPr>
        <w:instrText xml:space="preserve"> PAGEREF _Toc150262790 \h </w:instrText>
      </w:r>
      <w:r>
        <w:rPr>
          <w:rFonts w:ascii="宋体" w:hAnsi="宋体"/>
          <w:b/>
          <w:bCs w:val="0"/>
          <w:color w:val="auto"/>
          <w:sz w:val="24"/>
          <w:szCs w:val="24"/>
        </w:rPr>
        <w:fldChar w:fldCharType="separate"/>
      </w:r>
      <w:r>
        <w:rPr>
          <w:rFonts w:ascii="宋体" w:hAnsi="宋体"/>
          <w:b/>
          <w:bCs w:val="0"/>
          <w:color w:val="auto"/>
          <w:sz w:val="24"/>
          <w:szCs w:val="24"/>
        </w:rPr>
        <w:t>49</w:t>
      </w:r>
      <w:r>
        <w:rPr>
          <w:rFonts w:ascii="宋体" w:hAnsi="宋体"/>
          <w:b/>
          <w:bCs w:val="0"/>
          <w:color w:val="auto"/>
          <w:sz w:val="24"/>
          <w:szCs w:val="24"/>
        </w:rPr>
        <w:fldChar w:fldCharType="end"/>
      </w:r>
      <w:r>
        <w:rPr>
          <w:rFonts w:ascii="宋体" w:hAnsi="宋体"/>
          <w:b/>
          <w:bCs w:val="0"/>
          <w:color w:val="auto"/>
          <w:sz w:val="24"/>
          <w:szCs w:val="24"/>
        </w:rPr>
        <w:fldChar w:fldCharType="end"/>
      </w:r>
    </w:p>
    <w:p>
      <w:pPr>
        <w:pStyle w:val="33"/>
        <w:keepNext w:val="0"/>
        <w:keepLines w:val="0"/>
        <w:pageBreakBefore w:val="0"/>
        <w:widowControl w:val="0"/>
        <w:tabs>
          <w:tab w:val="right" w:leader="dot" w:pos="9174"/>
        </w:tabs>
        <w:kinsoku/>
        <w:wordWrap/>
        <w:overflowPunct/>
        <w:topLinePunct w:val="0"/>
        <w:autoSpaceDE/>
        <w:autoSpaceDN/>
        <w:bidi w:val="0"/>
        <w:adjustRightInd/>
        <w:snapToGrid/>
        <w:spacing w:line="440" w:lineRule="exact"/>
        <w:textAlignment w:val="auto"/>
        <w:rPr>
          <w:rFonts w:ascii="宋体" w:hAnsi="宋体"/>
          <w:b/>
          <w:bCs w:val="0"/>
          <w:smallCaps w:val="0"/>
          <w:color w:val="auto"/>
          <w:sz w:val="24"/>
          <w:szCs w:val="24"/>
        </w:rPr>
      </w:pPr>
      <w:r>
        <w:rPr>
          <w:b/>
          <w:bCs w:val="0"/>
          <w:color w:val="auto"/>
          <w:sz w:val="24"/>
          <w:szCs w:val="24"/>
        </w:rPr>
        <w:fldChar w:fldCharType="begin"/>
      </w:r>
      <w:r>
        <w:rPr>
          <w:b/>
          <w:bCs w:val="0"/>
          <w:color w:val="auto"/>
          <w:sz w:val="24"/>
          <w:szCs w:val="24"/>
        </w:rPr>
        <w:instrText xml:space="preserve"> HYPERLINK \l "_Toc150262791" </w:instrText>
      </w:r>
      <w:r>
        <w:rPr>
          <w:b/>
          <w:bCs w:val="0"/>
          <w:color w:val="auto"/>
          <w:sz w:val="24"/>
          <w:szCs w:val="24"/>
        </w:rPr>
        <w:fldChar w:fldCharType="separate"/>
      </w:r>
      <w:r>
        <w:rPr>
          <w:rStyle w:val="47"/>
          <w:rFonts w:ascii="宋体" w:hAnsi="宋体"/>
          <w:b/>
          <w:bCs w:val="0"/>
          <w:color w:val="auto"/>
          <w:kern w:val="28"/>
          <w:sz w:val="24"/>
          <w:szCs w:val="24"/>
        </w:rPr>
        <w:t>5.2应重视的安全对策措施建议</w:t>
      </w:r>
      <w:r>
        <w:rPr>
          <w:rFonts w:ascii="宋体" w:hAnsi="宋体"/>
          <w:b/>
          <w:bCs w:val="0"/>
          <w:color w:val="auto"/>
          <w:sz w:val="24"/>
          <w:szCs w:val="24"/>
        </w:rPr>
        <w:tab/>
      </w:r>
      <w:r>
        <w:rPr>
          <w:rFonts w:ascii="宋体" w:hAnsi="宋体"/>
          <w:b/>
          <w:bCs w:val="0"/>
          <w:color w:val="auto"/>
          <w:sz w:val="24"/>
          <w:szCs w:val="24"/>
        </w:rPr>
        <w:fldChar w:fldCharType="begin"/>
      </w:r>
      <w:r>
        <w:rPr>
          <w:rFonts w:ascii="宋体" w:hAnsi="宋体"/>
          <w:b/>
          <w:bCs w:val="0"/>
          <w:color w:val="auto"/>
          <w:sz w:val="24"/>
          <w:szCs w:val="24"/>
        </w:rPr>
        <w:instrText xml:space="preserve"> PAGEREF _Toc150262791 \h </w:instrText>
      </w:r>
      <w:r>
        <w:rPr>
          <w:rFonts w:ascii="宋体" w:hAnsi="宋体"/>
          <w:b/>
          <w:bCs w:val="0"/>
          <w:color w:val="auto"/>
          <w:sz w:val="24"/>
          <w:szCs w:val="24"/>
        </w:rPr>
        <w:fldChar w:fldCharType="separate"/>
      </w:r>
      <w:r>
        <w:rPr>
          <w:rFonts w:ascii="宋体" w:hAnsi="宋体"/>
          <w:b/>
          <w:bCs w:val="0"/>
          <w:color w:val="auto"/>
          <w:sz w:val="24"/>
          <w:szCs w:val="24"/>
        </w:rPr>
        <w:t>49</w:t>
      </w:r>
      <w:r>
        <w:rPr>
          <w:rFonts w:ascii="宋体" w:hAnsi="宋体"/>
          <w:b/>
          <w:bCs w:val="0"/>
          <w:color w:val="auto"/>
          <w:sz w:val="24"/>
          <w:szCs w:val="24"/>
        </w:rPr>
        <w:fldChar w:fldCharType="end"/>
      </w:r>
      <w:r>
        <w:rPr>
          <w:rFonts w:ascii="宋体" w:hAnsi="宋体"/>
          <w:b/>
          <w:bCs w:val="0"/>
          <w:color w:val="auto"/>
          <w:sz w:val="24"/>
          <w:szCs w:val="24"/>
        </w:rPr>
        <w:fldChar w:fldCharType="end"/>
      </w:r>
    </w:p>
    <w:p>
      <w:pPr>
        <w:pStyle w:val="33"/>
        <w:keepNext w:val="0"/>
        <w:keepLines w:val="0"/>
        <w:pageBreakBefore w:val="0"/>
        <w:widowControl w:val="0"/>
        <w:tabs>
          <w:tab w:val="right" w:leader="dot" w:pos="9174"/>
        </w:tabs>
        <w:kinsoku/>
        <w:wordWrap/>
        <w:overflowPunct/>
        <w:topLinePunct w:val="0"/>
        <w:autoSpaceDE/>
        <w:autoSpaceDN/>
        <w:bidi w:val="0"/>
        <w:adjustRightInd/>
        <w:snapToGrid/>
        <w:spacing w:line="440" w:lineRule="exact"/>
        <w:textAlignment w:val="auto"/>
        <w:rPr>
          <w:rFonts w:ascii="宋体" w:hAnsi="宋体"/>
          <w:b/>
          <w:bCs w:val="0"/>
          <w:smallCaps w:val="0"/>
          <w:color w:val="auto"/>
          <w:sz w:val="24"/>
          <w:szCs w:val="24"/>
        </w:rPr>
      </w:pPr>
      <w:r>
        <w:rPr>
          <w:b/>
          <w:bCs w:val="0"/>
          <w:color w:val="auto"/>
          <w:sz w:val="24"/>
          <w:szCs w:val="24"/>
        </w:rPr>
        <w:fldChar w:fldCharType="begin"/>
      </w:r>
      <w:r>
        <w:rPr>
          <w:b/>
          <w:bCs w:val="0"/>
          <w:color w:val="auto"/>
          <w:sz w:val="24"/>
          <w:szCs w:val="24"/>
        </w:rPr>
        <w:instrText xml:space="preserve"> HYPERLINK \l "_Toc150262792" </w:instrText>
      </w:r>
      <w:r>
        <w:rPr>
          <w:b/>
          <w:bCs w:val="0"/>
          <w:color w:val="auto"/>
          <w:sz w:val="24"/>
          <w:szCs w:val="24"/>
        </w:rPr>
        <w:fldChar w:fldCharType="separate"/>
      </w:r>
      <w:r>
        <w:rPr>
          <w:rStyle w:val="47"/>
          <w:rFonts w:ascii="宋体" w:hAnsi="宋体"/>
          <w:b/>
          <w:bCs w:val="0"/>
          <w:color w:val="auto"/>
          <w:kern w:val="28"/>
          <w:sz w:val="24"/>
          <w:szCs w:val="24"/>
        </w:rPr>
        <w:t>5.3危险有害因素可控性及受控程度</w:t>
      </w:r>
      <w:r>
        <w:rPr>
          <w:rFonts w:ascii="宋体" w:hAnsi="宋体"/>
          <w:b/>
          <w:bCs w:val="0"/>
          <w:color w:val="auto"/>
          <w:sz w:val="24"/>
          <w:szCs w:val="24"/>
        </w:rPr>
        <w:tab/>
      </w:r>
      <w:r>
        <w:rPr>
          <w:rFonts w:ascii="宋体" w:hAnsi="宋体"/>
          <w:b/>
          <w:bCs w:val="0"/>
          <w:color w:val="auto"/>
          <w:sz w:val="24"/>
          <w:szCs w:val="24"/>
        </w:rPr>
        <w:fldChar w:fldCharType="begin"/>
      </w:r>
      <w:r>
        <w:rPr>
          <w:rFonts w:ascii="宋体" w:hAnsi="宋体"/>
          <w:b/>
          <w:bCs w:val="0"/>
          <w:color w:val="auto"/>
          <w:sz w:val="24"/>
          <w:szCs w:val="24"/>
        </w:rPr>
        <w:instrText xml:space="preserve"> PAGEREF _Toc150262792 \h </w:instrText>
      </w:r>
      <w:r>
        <w:rPr>
          <w:rFonts w:ascii="宋体" w:hAnsi="宋体"/>
          <w:b/>
          <w:bCs w:val="0"/>
          <w:color w:val="auto"/>
          <w:sz w:val="24"/>
          <w:szCs w:val="24"/>
        </w:rPr>
        <w:fldChar w:fldCharType="separate"/>
      </w:r>
      <w:r>
        <w:rPr>
          <w:rFonts w:ascii="宋体" w:hAnsi="宋体"/>
          <w:b/>
          <w:bCs w:val="0"/>
          <w:color w:val="auto"/>
          <w:sz w:val="24"/>
          <w:szCs w:val="24"/>
        </w:rPr>
        <w:t>49</w:t>
      </w:r>
      <w:r>
        <w:rPr>
          <w:rFonts w:ascii="宋体" w:hAnsi="宋体"/>
          <w:b/>
          <w:bCs w:val="0"/>
          <w:color w:val="auto"/>
          <w:sz w:val="24"/>
          <w:szCs w:val="24"/>
        </w:rPr>
        <w:fldChar w:fldCharType="end"/>
      </w:r>
      <w:r>
        <w:rPr>
          <w:rFonts w:ascii="宋体" w:hAnsi="宋体"/>
          <w:b/>
          <w:bCs w:val="0"/>
          <w:color w:val="auto"/>
          <w:sz w:val="24"/>
          <w:szCs w:val="24"/>
        </w:rPr>
        <w:fldChar w:fldCharType="end"/>
      </w:r>
    </w:p>
    <w:p>
      <w:pPr>
        <w:pStyle w:val="33"/>
        <w:keepNext w:val="0"/>
        <w:keepLines w:val="0"/>
        <w:pageBreakBefore w:val="0"/>
        <w:widowControl w:val="0"/>
        <w:tabs>
          <w:tab w:val="right" w:leader="dot" w:pos="9174"/>
        </w:tabs>
        <w:kinsoku/>
        <w:wordWrap/>
        <w:overflowPunct/>
        <w:topLinePunct w:val="0"/>
        <w:autoSpaceDE/>
        <w:autoSpaceDN/>
        <w:bidi w:val="0"/>
        <w:adjustRightInd/>
        <w:snapToGrid/>
        <w:spacing w:line="440" w:lineRule="exact"/>
        <w:textAlignment w:val="auto"/>
        <w:rPr>
          <w:rFonts w:ascii="宋体" w:hAnsi="宋体"/>
          <w:b/>
          <w:bCs w:val="0"/>
          <w:smallCaps w:val="0"/>
          <w:color w:val="auto"/>
          <w:sz w:val="24"/>
          <w:szCs w:val="24"/>
        </w:rPr>
      </w:pPr>
      <w:r>
        <w:rPr>
          <w:b/>
          <w:bCs w:val="0"/>
          <w:color w:val="auto"/>
          <w:sz w:val="24"/>
          <w:szCs w:val="24"/>
        </w:rPr>
        <w:fldChar w:fldCharType="begin"/>
      </w:r>
      <w:r>
        <w:rPr>
          <w:b/>
          <w:bCs w:val="0"/>
          <w:color w:val="auto"/>
          <w:sz w:val="24"/>
          <w:szCs w:val="24"/>
        </w:rPr>
        <w:instrText xml:space="preserve"> HYPERLINK \l "_Toc150262793" </w:instrText>
      </w:r>
      <w:r>
        <w:rPr>
          <w:b/>
          <w:bCs w:val="0"/>
          <w:color w:val="auto"/>
          <w:sz w:val="24"/>
          <w:szCs w:val="24"/>
        </w:rPr>
        <w:fldChar w:fldCharType="separate"/>
      </w:r>
      <w:r>
        <w:rPr>
          <w:rStyle w:val="47"/>
          <w:rFonts w:ascii="宋体" w:hAnsi="宋体"/>
          <w:b/>
          <w:bCs w:val="0"/>
          <w:color w:val="auto"/>
          <w:kern w:val="28"/>
          <w:sz w:val="24"/>
          <w:szCs w:val="24"/>
        </w:rPr>
        <w:t>5.4从安全生产角度是否符合国家有关法律、法规、标准和规范的要求</w:t>
      </w:r>
      <w:r>
        <w:rPr>
          <w:rFonts w:ascii="宋体" w:hAnsi="宋体"/>
          <w:b/>
          <w:bCs w:val="0"/>
          <w:color w:val="auto"/>
          <w:sz w:val="24"/>
          <w:szCs w:val="24"/>
        </w:rPr>
        <w:tab/>
      </w:r>
      <w:r>
        <w:rPr>
          <w:rFonts w:ascii="宋体" w:hAnsi="宋体"/>
          <w:b/>
          <w:bCs w:val="0"/>
          <w:color w:val="auto"/>
          <w:sz w:val="24"/>
          <w:szCs w:val="24"/>
        </w:rPr>
        <w:fldChar w:fldCharType="begin"/>
      </w:r>
      <w:r>
        <w:rPr>
          <w:rFonts w:ascii="宋体" w:hAnsi="宋体"/>
          <w:b/>
          <w:bCs w:val="0"/>
          <w:color w:val="auto"/>
          <w:sz w:val="24"/>
          <w:szCs w:val="24"/>
        </w:rPr>
        <w:instrText xml:space="preserve"> PAGEREF _Toc150262793 \h </w:instrText>
      </w:r>
      <w:r>
        <w:rPr>
          <w:rFonts w:ascii="宋体" w:hAnsi="宋体"/>
          <w:b/>
          <w:bCs w:val="0"/>
          <w:color w:val="auto"/>
          <w:sz w:val="24"/>
          <w:szCs w:val="24"/>
        </w:rPr>
        <w:fldChar w:fldCharType="separate"/>
      </w:r>
      <w:r>
        <w:rPr>
          <w:rFonts w:ascii="宋体" w:hAnsi="宋体"/>
          <w:b/>
          <w:bCs w:val="0"/>
          <w:color w:val="auto"/>
          <w:sz w:val="24"/>
          <w:szCs w:val="24"/>
        </w:rPr>
        <w:t>49</w:t>
      </w:r>
      <w:r>
        <w:rPr>
          <w:rFonts w:ascii="宋体" w:hAnsi="宋体"/>
          <w:b/>
          <w:bCs w:val="0"/>
          <w:color w:val="auto"/>
          <w:sz w:val="24"/>
          <w:szCs w:val="24"/>
        </w:rPr>
        <w:fldChar w:fldCharType="end"/>
      </w:r>
      <w:r>
        <w:rPr>
          <w:rFonts w:ascii="宋体" w:hAnsi="宋体"/>
          <w:b/>
          <w:bCs w:val="0"/>
          <w:color w:val="auto"/>
          <w:sz w:val="24"/>
          <w:szCs w:val="24"/>
        </w:rPr>
        <w:fldChar w:fldCharType="end"/>
      </w:r>
    </w:p>
    <w:p>
      <w:pPr>
        <w:pStyle w:val="29"/>
        <w:keepNext w:val="0"/>
        <w:keepLines w:val="0"/>
        <w:pageBreakBefore w:val="0"/>
        <w:widowControl w:val="0"/>
        <w:kinsoku/>
        <w:wordWrap/>
        <w:overflowPunct/>
        <w:topLinePunct w:val="0"/>
        <w:autoSpaceDE/>
        <w:autoSpaceDN/>
        <w:bidi w:val="0"/>
        <w:adjustRightInd/>
        <w:snapToGrid/>
        <w:spacing w:before="0" w:after="0" w:line="440" w:lineRule="exact"/>
        <w:textAlignment w:val="auto"/>
        <w:rPr>
          <w:rFonts w:ascii="宋体" w:eastAsia="宋体"/>
          <w:b/>
          <w:bCs w:val="0"/>
          <w:caps w:val="0"/>
          <w:color w:val="auto"/>
          <w:sz w:val="24"/>
          <w:szCs w:val="24"/>
        </w:rPr>
      </w:pPr>
      <w:r>
        <w:rPr>
          <w:b/>
          <w:bCs w:val="0"/>
          <w:color w:val="auto"/>
          <w:sz w:val="24"/>
          <w:szCs w:val="24"/>
        </w:rPr>
        <w:fldChar w:fldCharType="begin"/>
      </w:r>
      <w:r>
        <w:rPr>
          <w:b/>
          <w:bCs w:val="0"/>
          <w:color w:val="auto"/>
          <w:sz w:val="24"/>
          <w:szCs w:val="24"/>
        </w:rPr>
        <w:instrText xml:space="preserve"> HYPERLINK \l "_Toc150262794" </w:instrText>
      </w:r>
      <w:r>
        <w:rPr>
          <w:b/>
          <w:bCs w:val="0"/>
          <w:color w:val="auto"/>
          <w:sz w:val="24"/>
          <w:szCs w:val="24"/>
        </w:rPr>
        <w:fldChar w:fldCharType="separate"/>
      </w:r>
      <w:r>
        <w:rPr>
          <w:rStyle w:val="47"/>
          <w:rFonts w:ascii="宋体" w:eastAsia="宋体"/>
          <w:b/>
          <w:bCs w:val="0"/>
          <w:color w:val="auto"/>
          <w:kern w:val="30"/>
          <w:sz w:val="24"/>
          <w:szCs w:val="24"/>
        </w:rPr>
        <w:t>附件</w:t>
      </w:r>
      <w:r>
        <w:rPr>
          <w:rFonts w:ascii="宋体" w:eastAsia="宋体"/>
          <w:b/>
          <w:bCs w:val="0"/>
          <w:color w:val="auto"/>
          <w:sz w:val="24"/>
          <w:szCs w:val="24"/>
        </w:rPr>
        <w:tab/>
      </w:r>
      <w:r>
        <w:rPr>
          <w:rFonts w:ascii="宋体" w:eastAsia="宋体"/>
          <w:b/>
          <w:bCs w:val="0"/>
          <w:color w:val="auto"/>
          <w:sz w:val="24"/>
          <w:szCs w:val="24"/>
        </w:rPr>
        <w:fldChar w:fldCharType="begin"/>
      </w:r>
      <w:r>
        <w:rPr>
          <w:rFonts w:ascii="宋体" w:eastAsia="宋体"/>
          <w:b/>
          <w:bCs w:val="0"/>
          <w:color w:val="auto"/>
          <w:sz w:val="24"/>
          <w:szCs w:val="24"/>
        </w:rPr>
        <w:instrText xml:space="preserve"> PAGEREF _Toc150262794 \h </w:instrText>
      </w:r>
      <w:r>
        <w:rPr>
          <w:rFonts w:ascii="宋体" w:eastAsia="宋体"/>
          <w:b/>
          <w:bCs w:val="0"/>
          <w:color w:val="auto"/>
          <w:sz w:val="24"/>
          <w:szCs w:val="24"/>
        </w:rPr>
        <w:fldChar w:fldCharType="separate"/>
      </w:r>
      <w:r>
        <w:rPr>
          <w:rFonts w:ascii="宋体" w:eastAsia="宋体"/>
          <w:b/>
          <w:bCs w:val="0"/>
          <w:color w:val="auto"/>
          <w:sz w:val="24"/>
          <w:szCs w:val="24"/>
        </w:rPr>
        <w:t>50</w:t>
      </w:r>
      <w:r>
        <w:rPr>
          <w:rFonts w:ascii="宋体" w:eastAsia="宋体"/>
          <w:b/>
          <w:bCs w:val="0"/>
          <w:color w:val="auto"/>
          <w:sz w:val="24"/>
          <w:szCs w:val="24"/>
        </w:rPr>
        <w:fldChar w:fldCharType="end"/>
      </w:r>
      <w:r>
        <w:rPr>
          <w:rFonts w:ascii="宋体" w:eastAsia="宋体"/>
          <w:b/>
          <w:bCs w:val="0"/>
          <w:color w:val="auto"/>
          <w:sz w:val="24"/>
          <w:szCs w:val="24"/>
        </w:rPr>
        <w:fldChar w:fldCharType="end"/>
      </w:r>
    </w:p>
    <w:p>
      <w:pPr>
        <w:pStyle w:val="33"/>
        <w:widowControl/>
        <w:tabs>
          <w:tab w:val="right" w:leader="dot" w:pos="9174"/>
        </w:tabs>
        <w:spacing w:line="500" w:lineRule="exact"/>
        <w:rPr>
          <w:rFonts w:ascii="宋体" w:hAnsi="宋体"/>
          <w:color w:val="auto"/>
          <w:sz w:val="24"/>
        </w:rPr>
        <w:sectPr>
          <w:headerReference r:id="rId9" w:type="first"/>
          <w:footerReference r:id="rId11" w:type="first"/>
          <w:headerReference r:id="rId8" w:type="even"/>
          <w:footerReference r:id="rId10" w:type="even"/>
          <w:pgSz w:w="11906" w:h="16838"/>
          <w:pgMar w:top="1134" w:right="1134" w:bottom="1418" w:left="1588" w:header="851" w:footer="992" w:gutter="0"/>
          <w:pgBorders>
            <w:top w:val="none" w:sz="0" w:space="0"/>
            <w:left w:val="none" w:sz="0" w:space="0"/>
            <w:bottom w:val="none" w:sz="0" w:space="0"/>
            <w:right w:val="none" w:sz="0" w:space="0"/>
          </w:pgBorders>
          <w:pgNumType w:fmt="upperRoman"/>
          <w:cols w:space="720" w:num="1"/>
          <w:docGrid w:linePitch="312" w:charSpace="0"/>
        </w:sectPr>
      </w:pPr>
      <w:r>
        <w:rPr>
          <w:rFonts w:hint="eastAsia" w:ascii="宋体" w:hAnsi="宋体"/>
          <w:bCs/>
          <w:caps/>
          <w:color w:val="auto"/>
          <w:sz w:val="24"/>
          <w:szCs w:val="24"/>
        </w:rPr>
        <w:fldChar w:fldCharType="end"/>
      </w:r>
    </w:p>
    <w:p>
      <w:pPr>
        <w:pStyle w:val="3"/>
        <w:widowControl/>
        <w:spacing w:before="120" w:after="120" w:line="500" w:lineRule="exact"/>
        <w:rPr>
          <w:rFonts w:ascii="宋体" w:hAnsi="宋体" w:eastAsia="宋体"/>
          <w:b/>
          <w:color w:val="auto"/>
          <w:kern w:val="30"/>
          <w:sz w:val="30"/>
          <w:szCs w:val="30"/>
        </w:rPr>
      </w:pPr>
      <w:bookmarkStart w:id="18" w:name="_Toc198106898"/>
      <w:bookmarkStart w:id="19" w:name="_Toc168484294"/>
      <w:bookmarkStart w:id="20" w:name="_Toc233881311"/>
      <w:bookmarkStart w:id="21" w:name="_Toc150262766"/>
      <w:r>
        <w:rPr>
          <w:rFonts w:hint="eastAsia" w:ascii="宋体" w:hAnsi="宋体" w:eastAsia="宋体"/>
          <w:b/>
          <w:color w:val="auto"/>
          <w:kern w:val="30"/>
          <w:sz w:val="30"/>
          <w:szCs w:val="30"/>
        </w:rPr>
        <w:t>1</w:t>
      </w:r>
      <w:bookmarkEnd w:id="11"/>
      <w:bookmarkEnd w:id="12"/>
      <w:bookmarkEnd w:id="13"/>
      <w:bookmarkEnd w:id="14"/>
      <w:bookmarkEnd w:id="15"/>
      <w:bookmarkEnd w:id="16"/>
      <w:bookmarkEnd w:id="17"/>
      <w:bookmarkEnd w:id="18"/>
      <w:bookmarkEnd w:id="19"/>
      <w:bookmarkEnd w:id="20"/>
      <w:r>
        <w:rPr>
          <w:rFonts w:hint="eastAsia" w:ascii="宋体" w:hAnsi="宋体" w:eastAsia="宋体"/>
          <w:b/>
          <w:color w:val="auto"/>
          <w:kern w:val="30"/>
          <w:sz w:val="30"/>
          <w:szCs w:val="30"/>
        </w:rPr>
        <w:t>评价对象与依据</w:t>
      </w:r>
      <w:bookmarkEnd w:id="21"/>
    </w:p>
    <w:p>
      <w:pPr>
        <w:pStyle w:val="4"/>
        <w:keepLines w:val="0"/>
        <w:widowControl/>
        <w:spacing w:before="120" w:after="120" w:line="500" w:lineRule="exact"/>
        <w:rPr>
          <w:rFonts w:ascii="宋体" w:hAnsi="宋体" w:eastAsia="宋体"/>
          <w:b/>
          <w:bCs w:val="0"/>
          <w:color w:val="auto"/>
          <w:kern w:val="28"/>
          <w:sz w:val="28"/>
          <w:szCs w:val="28"/>
        </w:rPr>
      </w:pPr>
      <w:bookmarkStart w:id="22" w:name="_Toc168484297"/>
      <w:bookmarkStart w:id="23" w:name="_Toc149559781"/>
      <w:bookmarkStart w:id="24" w:name="_Toc233881323"/>
      <w:bookmarkStart w:id="25" w:name="_Toc158167946"/>
      <w:bookmarkStart w:id="26" w:name="_Toc158167833"/>
      <w:bookmarkStart w:id="27" w:name="_Toc198106901"/>
      <w:bookmarkStart w:id="28" w:name="_Toc156811359"/>
      <w:bookmarkStart w:id="29" w:name="_Toc150262767"/>
      <w:bookmarkStart w:id="30" w:name="_Toc193792548"/>
      <w:bookmarkStart w:id="31" w:name="_Toc176255623"/>
      <w:bookmarkStart w:id="32" w:name="_Toc182107657"/>
      <w:bookmarkStart w:id="33" w:name="_Toc185329015"/>
      <w:bookmarkStart w:id="34" w:name="_Toc172953870"/>
      <w:bookmarkStart w:id="35" w:name="_Toc188158279"/>
      <w:bookmarkStart w:id="36" w:name="_Toc194481338"/>
      <w:bookmarkStart w:id="37" w:name="_Toc189299989"/>
      <w:bookmarkStart w:id="38" w:name="_Toc173312587"/>
      <w:bookmarkStart w:id="39" w:name="_Toc193789349"/>
      <w:bookmarkStart w:id="40" w:name="_Toc180549430"/>
      <w:bookmarkStart w:id="41" w:name="_Toc190416504"/>
      <w:bookmarkStart w:id="42" w:name="_Toc176254586"/>
      <w:bookmarkStart w:id="43" w:name="_Toc176254708"/>
      <w:bookmarkStart w:id="44" w:name="_Toc185383116"/>
      <w:bookmarkStart w:id="45" w:name="_Toc173573444"/>
      <w:bookmarkStart w:id="46" w:name="_Toc193792439"/>
      <w:bookmarkStart w:id="47" w:name="_Toc172892278"/>
      <w:bookmarkStart w:id="48" w:name="_Toc233881312"/>
      <w:bookmarkStart w:id="49" w:name="_Toc181243074"/>
      <w:bookmarkStart w:id="50" w:name="_Toc193101125"/>
      <w:bookmarkStart w:id="51" w:name="_Toc176320302"/>
      <w:bookmarkStart w:id="52" w:name="_Toc176687737"/>
      <w:bookmarkStart w:id="53" w:name="_Toc185913941"/>
      <w:bookmarkStart w:id="54" w:name="_Toc185347500"/>
      <w:bookmarkStart w:id="55" w:name="_Toc189300136"/>
      <w:bookmarkStart w:id="56" w:name="_Toc194551630"/>
      <w:bookmarkStart w:id="57" w:name="_Toc188851053"/>
      <w:r>
        <w:rPr>
          <w:rFonts w:hint="eastAsia" w:ascii="宋体" w:hAnsi="宋体" w:eastAsia="宋体"/>
          <w:b/>
          <w:bCs w:val="0"/>
          <w:color w:val="auto"/>
          <w:kern w:val="28"/>
          <w:sz w:val="28"/>
          <w:szCs w:val="28"/>
        </w:rPr>
        <w:t>1.1评价对象和范围</w:t>
      </w:r>
      <w:bookmarkEnd w:id="22"/>
      <w:bookmarkEnd w:id="23"/>
      <w:bookmarkEnd w:id="24"/>
      <w:bookmarkEnd w:id="25"/>
      <w:bookmarkEnd w:id="26"/>
      <w:bookmarkEnd w:id="27"/>
      <w:bookmarkEnd w:id="28"/>
      <w:bookmarkEnd w:id="29"/>
    </w:p>
    <w:p>
      <w:pPr>
        <w:widowControl/>
        <w:spacing w:line="500" w:lineRule="exact"/>
        <w:ind w:firstLine="480" w:firstLineChars="200"/>
        <w:rPr>
          <w:rFonts w:ascii="宋体" w:hAnsi="宋体"/>
          <w:color w:val="auto"/>
          <w:sz w:val="24"/>
        </w:rPr>
      </w:pPr>
      <w:r>
        <w:rPr>
          <w:rFonts w:ascii="宋体" w:hAnsi="宋体"/>
          <w:color w:val="auto"/>
          <w:sz w:val="24"/>
        </w:rPr>
        <w:t>本次</w:t>
      </w:r>
      <w:r>
        <w:rPr>
          <w:rFonts w:hint="eastAsia" w:ascii="宋体" w:hAnsi="宋体"/>
          <w:color w:val="auto"/>
          <w:sz w:val="24"/>
        </w:rPr>
        <w:t>预</w:t>
      </w:r>
      <w:r>
        <w:rPr>
          <w:rFonts w:ascii="宋体" w:hAnsi="宋体"/>
          <w:color w:val="auto"/>
          <w:sz w:val="24"/>
        </w:rPr>
        <w:t>评价的对象是</w:t>
      </w:r>
      <w:r>
        <w:rPr>
          <w:rFonts w:hint="eastAsia" w:ascii="宋体" w:hAnsi="宋体"/>
          <w:color w:val="auto"/>
          <w:sz w:val="24"/>
        </w:rPr>
        <w:t>兴宁市守元矿业有限公司军营高岭土矿分公司扩建年产5万吨高岭土露天开采项目。</w:t>
      </w:r>
    </w:p>
    <w:p>
      <w:pPr>
        <w:widowControl/>
        <w:spacing w:line="500" w:lineRule="exact"/>
        <w:ind w:firstLine="480" w:firstLineChars="200"/>
        <w:rPr>
          <w:rFonts w:ascii="宋体" w:hAnsi="宋体"/>
          <w:color w:val="auto"/>
          <w:sz w:val="24"/>
        </w:rPr>
      </w:pPr>
      <w:r>
        <w:rPr>
          <w:rFonts w:ascii="宋体" w:hAnsi="宋体"/>
          <w:color w:val="auto"/>
          <w:sz w:val="24"/>
        </w:rPr>
        <w:t>评价范围为该</w:t>
      </w:r>
      <w:r>
        <w:rPr>
          <w:rFonts w:hint="eastAsia" w:ascii="宋体" w:hAnsi="宋体"/>
          <w:color w:val="auto"/>
          <w:sz w:val="24"/>
        </w:rPr>
        <w:t>新建</w:t>
      </w:r>
      <w:r>
        <w:rPr>
          <w:rFonts w:ascii="宋体" w:hAnsi="宋体"/>
          <w:color w:val="auto"/>
          <w:sz w:val="24"/>
        </w:rPr>
        <w:t>项目</w:t>
      </w:r>
      <w:r>
        <w:rPr>
          <w:rFonts w:hint="eastAsia" w:ascii="宋体" w:hAnsi="宋体"/>
          <w:color w:val="auto"/>
          <w:sz w:val="24"/>
        </w:rPr>
        <w:t>《采矿许可证》划定范围内（平面范围面积：0.1522km</w:t>
      </w:r>
      <w:r>
        <w:rPr>
          <w:rFonts w:hint="eastAsia" w:ascii="宋体" w:hAnsi="宋体"/>
          <w:color w:val="auto"/>
          <w:sz w:val="24"/>
          <w:vertAlign w:val="superscript"/>
        </w:rPr>
        <w:t>2</w:t>
      </w:r>
      <w:r>
        <w:rPr>
          <w:rFonts w:hint="eastAsia" w:ascii="宋体" w:hAnsi="宋体"/>
          <w:color w:val="auto"/>
          <w:sz w:val="24"/>
        </w:rPr>
        <w:t>，垂直范围：标高+375m～+250m）拟</w:t>
      </w:r>
      <w:r>
        <w:rPr>
          <w:rFonts w:ascii="宋体" w:hAnsi="宋体"/>
          <w:color w:val="auto"/>
          <w:sz w:val="24"/>
        </w:rPr>
        <w:t>选用的生产</w:t>
      </w:r>
      <w:r>
        <w:rPr>
          <w:rFonts w:hint="eastAsia" w:ascii="宋体" w:hAnsi="宋体"/>
          <w:color w:val="auto"/>
          <w:sz w:val="24"/>
        </w:rPr>
        <w:t>系统（设备设施、采矿工艺）和</w:t>
      </w:r>
      <w:r>
        <w:rPr>
          <w:rFonts w:ascii="宋体" w:hAnsi="宋体"/>
          <w:color w:val="auto"/>
          <w:sz w:val="24"/>
        </w:rPr>
        <w:t>辅助设施</w:t>
      </w:r>
      <w:r>
        <w:rPr>
          <w:rFonts w:hint="eastAsia" w:ascii="宋体" w:hAnsi="宋体"/>
          <w:color w:val="auto"/>
          <w:sz w:val="24"/>
        </w:rPr>
        <w:t>的安全设施</w:t>
      </w:r>
      <w:r>
        <w:rPr>
          <w:rFonts w:ascii="宋体" w:hAnsi="宋体"/>
          <w:color w:val="auto"/>
          <w:sz w:val="24"/>
        </w:rPr>
        <w:t>、总平面布置（包括</w:t>
      </w:r>
      <w:r>
        <w:rPr>
          <w:rFonts w:hint="eastAsia" w:ascii="宋体" w:hAnsi="宋体"/>
          <w:color w:val="auto"/>
          <w:sz w:val="24"/>
        </w:rPr>
        <w:t>项目选址、</w:t>
      </w:r>
      <w:r>
        <w:rPr>
          <w:rFonts w:ascii="宋体" w:hAnsi="宋体"/>
          <w:color w:val="auto"/>
          <w:sz w:val="24"/>
        </w:rPr>
        <w:t>与周边环境的相互影响）</w:t>
      </w:r>
      <w:r>
        <w:rPr>
          <w:rFonts w:hint="eastAsia" w:ascii="宋体" w:hAnsi="宋体"/>
          <w:color w:val="auto"/>
          <w:sz w:val="24"/>
        </w:rPr>
        <w:t>等安全生产管理。</w:t>
      </w:r>
    </w:p>
    <w:p>
      <w:pPr>
        <w:widowControl/>
        <w:spacing w:line="500" w:lineRule="exact"/>
        <w:ind w:firstLine="480" w:firstLineChars="200"/>
        <w:rPr>
          <w:rFonts w:ascii="宋体" w:hAnsi="宋体"/>
          <w:color w:val="auto"/>
          <w:sz w:val="24"/>
        </w:rPr>
      </w:pPr>
      <w:r>
        <w:rPr>
          <w:rFonts w:hint="eastAsia" w:ascii="宋体" w:hAnsi="宋体"/>
          <w:color w:val="auto"/>
          <w:sz w:val="24"/>
        </w:rPr>
        <w:t>该公司的环保问题、产品的厂外运输等不在本次评价范围内。</w:t>
      </w:r>
    </w:p>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pPr>
        <w:pStyle w:val="4"/>
        <w:keepLines w:val="0"/>
        <w:widowControl/>
        <w:spacing w:before="120" w:after="120" w:line="500" w:lineRule="exact"/>
        <w:rPr>
          <w:rFonts w:ascii="宋体" w:hAnsi="宋体" w:eastAsia="宋体"/>
          <w:b/>
          <w:bCs w:val="0"/>
          <w:color w:val="auto"/>
          <w:kern w:val="28"/>
          <w:sz w:val="28"/>
          <w:szCs w:val="28"/>
        </w:rPr>
      </w:pPr>
      <w:bookmarkStart w:id="58" w:name="_Toc150262768"/>
      <w:bookmarkStart w:id="59" w:name="_Toc242857489"/>
      <w:bookmarkStart w:id="60" w:name="_Toc274919626"/>
      <w:r>
        <w:rPr>
          <w:rFonts w:hint="eastAsia" w:ascii="宋体" w:hAnsi="宋体" w:eastAsia="宋体"/>
          <w:b/>
          <w:bCs w:val="0"/>
          <w:color w:val="auto"/>
          <w:kern w:val="28"/>
          <w:sz w:val="28"/>
          <w:szCs w:val="28"/>
        </w:rPr>
        <w:t>1.2评价依据</w:t>
      </w:r>
      <w:bookmarkEnd w:id="58"/>
      <w:bookmarkEnd w:id="59"/>
      <w:bookmarkEnd w:id="60"/>
    </w:p>
    <w:p>
      <w:pPr>
        <w:pStyle w:val="5"/>
        <w:keepLines w:val="0"/>
        <w:widowControl/>
        <w:spacing w:before="120" w:after="120" w:line="500" w:lineRule="exact"/>
        <w:rPr>
          <w:rFonts w:ascii="宋体" w:hAnsi="宋体"/>
          <w:color w:val="auto"/>
          <w:kern w:val="28"/>
          <w:sz w:val="28"/>
          <w:szCs w:val="28"/>
        </w:rPr>
      </w:pPr>
      <w:bookmarkStart w:id="61" w:name="_Toc335328916"/>
      <w:r>
        <w:rPr>
          <w:rFonts w:hint="eastAsia" w:ascii="宋体" w:hAnsi="宋体"/>
          <w:color w:val="auto"/>
          <w:kern w:val="28"/>
          <w:sz w:val="28"/>
          <w:szCs w:val="28"/>
        </w:rPr>
        <w:t>1.2.1法律法规</w:t>
      </w:r>
      <w:bookmarkEnd w:id="61"/>
    </w:p>
    <w:p>
      <w:pPr>
        <w:widowControl/>
        <w:spacing w:line="500" w:lineRule="exact"/>
        <w:ind w:firstLine="482" w:firstLineChars="200"/>
        <w:rPr>
          <w:rFonts w:ascii="宋体" w:hAnsi="宋体"/>
          <w:b/>
          <w:color w:val="auto"/>
          <w:sz w:val="24"/>
        </w:rPr>
      </w:pPr>
      <w:r>
        <w:rPr>
          <w:rFonts w:hint="eastAsia" w:ascii="宋体" w:hAnsi="宋体"/>
          <w:b/>
          <w:color w:val="auto"/>
          <w:sz w:val="24"/>
        </w:rPr>
        <w:t>（1）法律</w:t>
      </w:r>
    </w:p>
    <w:p>
      <w:pPr>
        <w:widowControl/>
        <w:numPr>
          <w:ilvl w:val="0"/>
          <w:numId w:val="1"/>
        </w:numPr>
        <w:tabs>
          <w:tab w:val="left" w:pos="284"/>
          <w:tab w:val="left" w:pos="567"/>
        </w:tabs>
        <w:spacing w:line="500" w:lineRule="exact"/>
        <w:ind w:firstLine="480" w:firstLineChars="200"/>
        <w:rPr>
          <w:rFonts w:ascii="宋体" w:hAnsi="宋体"/>
          <w:color w:val="auto"/>
          <w:sz w:val="24"/>
        </w:rPr>
      </w:pPr>
      <w:bookmarkStart w:id="62" w:name="OLE_LINK1"/>
      <w:r>
        <w:rPr>
          <w:rFonts w:ascii="宋体" w:hAnsi="宋体"/>
          <w:color w:val="auto"/>
          <w:sz w:val="24"/>
        </w:rPr>
        <w:t>《中华人民共和国矿产资源法》（中华人民共和国主席令</w:t>
      </w:r>
      <w:r>
        <w:rPr>
          <w:rFonts w:hint="eastAsia" w:ascii="宋体" w:hAnsi="宋体"/>
          <w:color w:val="auto"/>
          <w:sz w:val="24"/>
        </w:rPr>
        <w:t>第三十六号</w:t>
      </w:r>
      <w:r>
        <w:rPr>
          <w:rFonts w:ascii="宋体" w:hAnsi="宋体"/>
          <w:color w:val="auto"/>
          <w:sz w:val="24"/>
        </w:rPr>
        <w:t>，</w:t>
      </w:r>
      <w:r>
        <w:rPr>
          <w:rFonts w:hint="eastAsia" w:ascii="宋体" w:hAnsi="宋体"/>
          <w:color w:val="auto"/>
          <w:sz w:val="24"/>
        </w:rPr>
        <w:t>1986年3月19日公布，</w:t>
      </w:r>
      <w:r>
        <w:rPr>
          <w:rFonts w:ascii="宋体" w:hAnsi="宋体"/>
          <w:color w:val="auto"/>
          <w:sz w:val="24"/>
        </w:rPr>
        <w:t>自</w:t>
      </w:r>
      <w:r>
        <w:rPr>
          <w:rFonts w:hint="eastAsia" w:ascii="宋体" w:hAnsi="宋体"/>
          <w:color w:val="auto"/>
          <w:sz w:val="24"/>
        </w:rPr>
        <w:t>1986年10月1日施行；经《全国人民代表大会常务委员会关于修改部分法律的决定》（中华人民共和国主席令第十八号，2009年8月27日）第二次修正</w:t>
      </w:r>
      <w:r>
        <w:rPr>
          <w:rFonts w:ascii="宋体" w:hAnsi="宋体"/>
          <w:color w:val="auto"/>
          <w:sz w:val="24"/>
        </w:rPr>
        <w:t>）；</w:t>
      </w:r>
    </w:p>
    <w:p>
      <w:pPr>
        <w:widowControl/>
        <w:numPr>
          <w:ilvl w:val="0"/>
          <w:numId w:val="1"/>
        </w:numPr>
        <w:tabs>
          <w:tab w:val="left" w:pos="284"/>
          <w:tab w:val="left" w:pos="567"/>
        </w:tabs>
        <w:spacing w:line="500" w:lineRule="exact"/>
        <w:ind w:firstLine="480" w:firstLineChars="200"/>
        <w:rPr>
          <w:rFonts w:ascii="宋体" w:hAnsi="宋体"/>
          <w:color w:val="auto"/>
          <w:sz w:val="24"/>
        </w:rPr>
      </w:pPr>
      <w:r>
        <w:rPr>
          <w:rFonts w:ascii="宋体" w:hAnsi="宋体"/>
          <w:color w:val="auto"/>
          <w:sz w:val="24"/>
        </w:rPr>
        <w:t>《中华人民共和国矿山安全法》（中华人民共和国主席令第六十五号，</w:t>
      </w:r>
      <w:r>
        <w:rPr>
          <w:rFonts w:hint="eastAsia" w:ascii="宋体" w:hAnsi="宋体"/>
          <w:color w:val="auto"/>
          <w:sz w:val="24"/>
        </w:rPr>
        <w:t>1992年11月7日公布，</w:t>
      </w:r>
      <w:r>
        <w:rPr>
          <w:rFonts w:ascii="宋体" w:hAnsi="宋体"/>
          <w:color w:val="auto"/>
          <w:sz w:val="24"/>
        </w:rPr>
        <w:t>自</w:t>
      </w:r>
      <w:r>
        <w:rPr>
          <w:rFonts w:hint="eastAsia" w:ascii="宋体" w:hAnsi="宋体"/>
          <w:color w:val="auto"/>
          <w:sz w:val="24"/>
        </w:rPr>
        <w:t>1993</w:t>
      </w:r>
      <w:r>
        <w:rPr>
          <w:rFonts w:ascii="宋体" w:hAnsi="宋体"/>
          <w:color w:val="auto"/>
          <w:sz w:val="24"/>
        </w:rPr>
        <w:t>年</w:t>
      </w:r>
      <w:r>
        <w:rPr>
          <w:rFonts w:hint="eastAsia" w:ascii="宋体" w:hAnsi="宋体"/>
          <w:color w:val="auto"/>
          <w:sz w:val="24"/>
        </w:rPr>
        <w:t>5</w:t>
      </w:r>
      <w:r>
        <w:rPr>
          <w:rFonts w:ascii="宋体" w:hAnsi="宋体"/>
          <w:color w:val="auto"/>
          <w:sz w:val="24"/>
        </w:rPr>
        <w:t>月</w:t>
      </w:r>
      <w:r>
        <w:rPr>
          <w:rFonts w:hint="eastAsia" w:ascii="宋体" w:hAnsi="宋体"/>
          <w:color w:val="auto"/>
          <w:sz w:val="24"/>
        </w:rPr>
        <w:t>1</w:t>
      </w:r>
      <w:r>
        <w:rPr>
          <w:rFonts w:ascii="宋体" w:hAnsi="宋体"/>
          <w:color w:val="auto"/>
          <w:sz w:val="24"/>
        </w:rPr>
        <w:t>日</w:t>
      </w:r>
      <w:r>
        <w:rPr>
          <w:rFonts w:hint="eastAsia" w:ascii="宋体" w:hAnsi="宋体"/>
          <w:color w:val="auto"/>
          <w:sz w:val="24"/>
        </w:rPr>
        <w:t>施行；经《全国人民代表大会常务委员会关于修改部分法律的决定》（</w:t>
      </w:r>
      <w:r>
        <w:rPr>
          <w:rFonts w:ascii="宋体" w:hAnsi="宋体"/>
          <w:color w:val="auto"/>
          <w:sz w:val="24"/>
        </w:rPr>
        <w:t>中华人民共和国主席令</w:t>
      </w:r>
      <w:r>
        <w:rPr>
          <w:rFonts w:hint="eastAsia" w:ascii="宋体" w:hAnsi="宋体"/>
          <w:color w:val="auto"/>
          <w:sz w:val="24"/>
        </w:rPr>
        <w:t>第十八</w:t>
      </w:r>
      <w:r>
        <w:rPr>
          <w:rFonts w:ascii="宋体" w:hAnsi="宋体"/>
          <w:color w:val="auto"/>
          <w:sz w:val="24"/>
        </w:rPr>
        <w:t>号</w:t>
      </w:r>
      <w:r>
        <w:rPr>
          <w:rFonts w:hint="eastAsia" w:ascii="宋体" w:hAnsi="宋体"/>
          <w:color w:val="auto"/>
          <w:sz w:val="24"/>
        </w:rPr>
        <w:t>2009年8月27日）修正</w:t>
      </w:r>
      <w:r>
        <w:rPr>
          <w:rFonts w:ascii="宋体" w:hAnsi="宋体"/>
          <w:color w:val="auto"/>
          <w:sz w:val="24"/>
        </w:rPr>
        <w:t>）；</w:t>
      </w:r>
    </w:p>
    <w:p>
      <w:pPr>
        <w:widowControl/>
        <w:numPr>
          <w:ilvl w:val="0"/>
          <w:numId w:val="1"/>
        </w:numPr>
        <w:tabs>
          <w:tab w:val="left" w:pos="284"/>
          <w:tab w:val="left" w:pos="567"/>
        </w:tabs>
        <w:spacing w:line="500" w:lineRule="exact"/>
        <w:ind w:firstLine="480" w:firstLineChars="200"/>
        <w:rPr>
          <w:rFonts w:ascii="宋体" w:hAnsi="宋体"/>
          <w:color w:val="auto"/>
          <w:sz w:val="24"/>
        </w:rPr>
      </w:pPr>
      <w:r>
        <w:rPr>
          <w:rFonts w:ascii="宋体" w:hAnsi="宋体"/>
          <w:color w:val="auto"/>
          <w:sz w:val="24"/>
        </w:rPr>
        <w:t>《中华人民共和国劳动法》（中华人民共和国主席令</w:t>
      </w:r>
      <w:r>
        <w:rPr>
          <w:rFonts w:hint="eastAsia" w:ascii="宋体" w:hAnsi="宋体"/>
          <w:color w:val="auto"/>
          <w:sz w:val="24"/>
        </w:rPr>
        <w:t>第六十五号</w:t>
      </w:r>
      <w:r>
        <w:rPr>
          <w:rFonts w:ascii="宋体" w:hAnsi="宋体"/>
          <w:color w:val="auto"/>
          <w:sz w:val="24"/>
        </w:rPr>
        <w:t>，</w:t>
      </w:r>
      <w:r>
        <w:rPr>
          <w:rFonts w:hint="eastAsia" w:ascii="宋体" w:hAnsi="宋体"/>
          <w:color w:val="auto"/>
          <w:sz w:val="24"/>
        </w:rPr>
        <w:t>2007年6月29日公布</w:t>
      </w:r>
      <w:r>
        <w:rPr>
          <w:rFonts w:ascii="宋体" w:hAnsi="宋体"/>
          <w:color w:val="auto"/>
          <w:sz w:val="24"/>
        </w:rPr>
        <w:t>，自20</w:t>
      </w:r>
      <w:r>
        <w:rPr>
          <w:rFonts w:hint="eastAsia" w:ascii="宋体" w:hAnsi="宋体"/>
          <w:color w:val="auto"/>
          <w:sz w:val="24"/>
        </w:rPr>
        <w:t>08</w:t>
      </w:r>
      <w:r>
        <w:rPr>
          <w:rFonts w:ascii="宋体" w:hAnsi="宋体"/>
          <w:color w:val="auto"/>
          <w:sz w:val="24"/>
        </w:rPr>
        <w:t>年</w:t>
      </w:r>
      <w:r>
        <w:rPr>
          <w:rFonts w:hint="eastAsia" w:ascii="宋体" w:hAnsi="宋体"/>
          <w:color w:val="auto"/>
          <w:sz w:val="24"/>
        </w:rPr>
        <w:t>1</w:t>
      </w:r>
      <w:r>
        <w:rPr>
          <w:rFonts w:ascii="宋体" w:hAnsi="宋体"/>
          <w:color w:val="auto"/>
          <w:sz w:val="24"/>
        </w:rPr>
        <w:t>月1日起施行</w:t>
      </w:r>
      <w:r>
        <w:rPr>
          <w:rFonts w:hint="eastAsia" w:ascii="宋体" w:hAnsi="宋体"/>
          <w:color w:val="auto"/>
          <w:sz w:val="24"/>
        </w:rPr>
        <w:t>；经《全国人民代表大会常务委员会关于修改〈中华人民共和国劳动合同法〉的决定》（中华人民共和国主席令第七十三号，2012年12月28日）修正</w:t>
      </w:r>
      <w:r>
        <w:rPr>
          <w:rFonts w:ascii="宋体" w:hAnsi="宋体"/>
          <w:color w:val="auto"/>
          <w:sz w:val="24"/>
        </w:rPr>
        <w:t>）；</w:t>
      </w:r>
    </w:p>
    <w:p>
      <w:pPr>
        <w:widowControl/>
        <w:numPr>
          <w:ilvl w:val="0"/>
          <w:numId w:val="1"/>
        </w:numPr>
        <w:tabs>
          <w:tab w:val="left" w:pos="284"/>
          <w:tab w:val="left" w:pos="567"/>
        </w:tabs>
        <w:spacing w:line="500" w:lineRule="exact"/>
        <w:ind w:firstLine="480" w:firstLineChars="200"/>
        <w:rPr>
          <w:rFonts w:ascii="宋体" w:hAnsi="宋体"/>
          <w:color w:val="auto"/>
          <w:sz w:val="24"/>
        </w:rPr>
      </w:pPr>
      <w:r>
        <w:rPr>
          <w:rFonts w:hint="eastAsia" w:ascii="宋体" w:hAnsi="宋体"/>
          <w:color w:val="auto"/>
          <w:sz w:val="24"/>
        </w:rPr>
        <w:t>《中华人民共和国消防法》（</w:t>
      </w:r>
      <w:r>
        <w:rPr>
          <w:rFonts w:ascii="宋体" w:hAnsi="宋体"/>
          <w:color w:val="auto"/>
          <w:sz w:val="24"/>
        </w:rPr>
        <w:t>中华人民共和国主席令第六号，</w:t>
      </w:r>
      <w:r>
        <w:rPr>
          <w:rFonts w:hint="eastAsia" w:ascii="宋体" w:hAnsi="宋体"/>
          <w:color w:val="auto"/>
          <w:sz w:val="24"/>
        </w:rPr>
        <w:t>2008年10月28日公布</w:t>
      </w:r>
      <w:r>
        <w:rPr>
          <w:rFonts w:ascii="宋体" w:hAnsi="宋体"/>
          <w:color w:val="auto"/>
          <w:sz w:val="24"/>
        </w:rPr>
        <w:t>，自</w:t>
      </w:r>
      <w:r>
        <w:rPr>
          <w:rFonts w:hint="eastAsia" w:ascii="宋体" w:hAnsi="宋体"/>
          <w:color w:val="auto"/>
          <w:sz w:val="24"/>
        </w:rPr>
        <w:t>2009年5月1日</w:t>
      </w:r>
      <w:r>
        <w:rPr>
          <w:rFonts w:ascii="宋体" w:hAnsi="宋体"/>
          <w:color w:val="auto"/>
          <w:sz w:val="24"/>
        </w:rPr>
        <w:t>起施行</w:t>
      </w:r>
      <w:r>
        <w:rPr>
          <w:rFonts w:hint="eastAsia" w:ascii="宋体" w:hAnsi="宋体"/>
          <w:color w:val="auto"/>
          <w:sz w:val="24"/>
        </w:rPr>
        <w:t>；经《关于修改〈中华人民共和国道路交通安全法〉等八部法律的决定》（中华人民共和国主席令第八十一号，2021年4月29日）第二次修正）；</w:t>
      </w:r>
    </w:p>
    <w:p>
      <w:pPr>
        <w:widowControl/>
        <w:numPr>
          <w:ilvl w:val="0"/>
          <w:numId w:val="1"/>
        </w:numPr>
        <w:tabs>
          <w:tab w:val="left" w:pos="284"/>
          <w:tab w:val="left" w:pos="567"/>
        </w:tabs>
        <w:spacing w:line="500" w:lineRule="exact"/>
        <w:ind w:firstLine="480" w:firstLineChars="200"/>
        <w:rPr>
          <w:rFonts w:ascii="宋体" w:hAnsi="宋体"/>
          <w:color w:val="auto"/>
          <w:sz w:val="24"/>
        </w:rPr>
      </w:pPr>
      <w:r>
        <w:rPr>
          <w:rFonts w:ascii="宋体" w:hAnsi="宋体"/>
          <w:color w:val="auto"/>
          <w:sz w:val="24"/>
        </w:rPr>
        <w:t>《中华人民共和国职业病防治法》</w:t>
      </w:r>
      <w:r>
        <w:rPr>
          <w:rFonts w:hint="eastAsia" w:ascii="宋体" w:hAnsi="宋体"/>
          <w:color w:val="auto"/>
          <w:sz w:val="24"/>
        </w:rPr>
        <w:t>（</w:t>
      </w:r>
      <w:r>
        <w:rPr>
          <w:rFonts w:ascii="宋体" w:hAnsi="宋体"/>
          <w:color w:val="auto"/>
          <w:sz w:val="24"/>
        </w:rPr>
        <w:t>中华人民共和国主席令第</w:t>
      </w:r>
      <w:r>
        <w:rPr>
          <w:rFonts w:hint="eastAsia" w:ascii="宋体" w:hAnsi="宋体"/>
          <w:color w:val="auto"/>
          <w:sz w:val="24"/>
        </w:rPr>
        <w:t>六十</w:t>
      </w:r>
      <w:r>
        <w:rPr>
          <w:rFonts w:ascii="宋体" w:hAnsi="宋体"/>
          <w:color w:val="auto"/>
          <w:sz w:val="24"/>
        </w:rPr>
        <w:t>号，</w:t>
      </w:r>
      <w:r>
        <w:rPr>
          <w:rFonts w:hint="eastAsia" w:ascii="宋体" w:hAnsi="宋体"/>
          <w:color w:val="auto"/>
          <w:sz w:val="24"/>
        </w:rPr>
        <w:t>2001年10月27日公布，</w:t>
      </w:r>
      <w:r>
        <w:rPr>
          <w:rFonts w:ascii="宋体" w:hAnsi="宋体"/>
          <w:color w:val="auto"/>
          <w:sz w:val="24"/>
        </w:rPr>
        <w:t>自</w:t>
      </w:r>
      <w:r>
        <w:rPr>
          <w:rFonts w:hint="eastAsia" w:ascii="宋体" w:hAnsi="宋体"/>
          <w:color w:val="auto"/>
          <w:sz w:val="24"/>
        </w:rPr>
        <w:t>2002年5月1日</w:t>
      </w:r>
      <w:r>
        <w:rPr>
          <w:rFonts w:ascii="宋体" w:hAnsi="宋体"/>
          <w:color w:val="auto"/>
          <w:sz w:val="24"/>
        </w:rPr>
        <w:t>起施行</w:t>
      </w:r>
      <w:r>
        <w:rPr>
          <w:rFonts w:hint="eastAsia" w:ascii="宋体" w:hAnsi="宋体"/>
          <w:color w:val="auto"/>
          <w:sz w:val="24"/>
        </w:rPr>
        <w:t>；经《关于修改〈中华人民共和国劳动法〉等七部法律的决定》（中华人民共和国主席令第二十四号，2018年12月29日）第四次修正）；</w:t>
      </w:r>
    </w:p>
    <w:p>
      <w:pPr>
        <w:widowControl/>
        <w:numPr>
          <w:ilvl w:val="0"/>
          <w:numId w:val="1"/>
        </w:numPr>
        <w:tabs>
          <w:tab w:val="left" w:pos="284"/>
          <w:tab w:val="left" w:pos="567"/>
        </w:tabs>
        <w:spacing w:line="500" w:lineRule="exact"/>
        <w:ind w:firstLine="480" w:firstLineChars="200"/>
        <w:rPr>
          <w:rFonts w:ascii="宋体" w:hAnsi="宋体"/>
          <w:color w:val="auto"/>
          <w:sz w:val="24"/>
        </w:rPr>
      </w:pPr>
      <w:r>
        <w:rPr>
          <w:rFonts w:ascii="宋体" w:hAnsi="宋体"/>
          <w:color w:val="auto"/>
          <w:sz w:val="24"/>
        </w:rPr>
        <w:t>《中华人民共和国安全生产法》（</w:t>
      </w:r>
      <w:r>
        <w:rPr>
          <w:rFonts w:hint="eastAsia" w:ascii="宋体" w:hAnsi="宋体"/>
          <w:color w:val="auto"/>
          <w:sz w:val="24"/>
        </w:rPr>
        <w:t>中华人民共和国主席令第七十号，2002年6月29日公布，</w:t>
      </w:r>
      <w:r>
        <w:rPr>
          <w:rFonts w:ascii="宋体" w:hAnsi="宋体"/>
          <w:color w:val="auto"/>
          <w:sz w:val="24"/>
        </w:rPr>
        <w:t>自20</w:t>
      </w:r>
      <w:r>
        <w:rPr>
          <w:rFonts w:hint="eastAsia" w:ascii="宋体" w:hAnsi="宋体"/>
          <w:color w:val="auto"/>
          <w:sz w:val="24"/>
        </w:rPr>
        <w:t>02</w:t>
      </w:r>
      <w:r>
        <w:rPr>
          <w:rFonts w:ascii="宋体" w:hAnsi="宋体"/>
          <w:color w:val="auto"/>
          <w:sz w:val="24"/>
        </w:rPr>
        <w:t>年</w:t>
      </w:r>
      <w:r>
        <w:rPr>
          <w:rFonts w:hint="eastAsia" w:ascii="宋体" w:hAnsi="宋体"/>
          <w:color w:val="auto"/>
          <w:sz w:val="24"/>
        </w:rPr>
        <w:t>11</w:t>
      </w:r>
      <w:r>
        <w:rPr>
          <w:rFonts w:ascii="宋体" w:hAnsi="宋体"/>
          <w:color w:val="auto"/>
          <w:sz w:val="24"/>
        </w:rPr>
        <w:t>月1日起施行</w:t>
      </w:r>
      <w:r>
        <w:rPr>
          <w:rFonts w:hint="eastAsia" w:ascii="宋体" w:hAnsi="宋体"/>
          <w:color w:val="auto"/>
          <w:sz w:val="24"/>
        </w:rPr>
        <w:t>；经</w:t>
      </w:r>
      <w:r>
        <w:rPr>
          <w:rFonts w:ascii="宋体" w:hAnsi="宋体"/>
          <w:color w:val="auto"/>
          <w:sz w:val="24"/>
        </w:rPr>
        <w:t>《全国人民代表大会常务委员会关于修改〈中华人民共和国安全生产法〉的决定》</w:t>
      </w:r>
      <w:r>
        <w:rPr>
          <w:rFonts w:hint="eastAsia" w:ascii="宋体" w:hAnsi="宋体"/>
          <w:color w:val="auto"/>
          <w:sz w:val="24"/>
        </w:rPr>
        <w:t>（</w:t>
      </w:r>
      <w:r>
        <w:rPr>
          <w:rFonts w:ascii="宋体" w:hAnsi="宋体"/>
          <w:color w:val="auto"/>
          <w:sz w:val="24"/>
        </w:rPr>
        <w:t>中华人民共和国主席令第</w:t>
      </w:r>
      <w:r>
        <w:rPr>
          <w:rFonts w:hint="eastAsia" w:ascii="宋体" w:hAnsi="宋体"/>
          <w:color w:val="auto"/>
          <w:sz w:val="24"/>
        </w:rPr>
        <w:t>八十八</w:t>
      </w:r>
      <w:r>
        <w:rPr>
          <w:rFonts w:ascii="宋体" w:hAnsi="宋体"/>
          <w:color w:val="auto"/>
          <w:sz w:val="24"/>
        </w:rPr>
        <w:t>号</w:t>
      </w:r>
      <w:r>
        <w:rPr>
          <w:rFonts w:hint="eastAsia" w:ascii="宋体" w:hAnsi="宋体"/>
          <w:color w:val="auto"/>
          <w:sz w:val="24"/>
        </w:rPr>
        <w:t>，2021年6月10日）第三次修改</w:t>
      </w:r>
      <w:r>
        <w:rPr>
          <w:rFonts w:ascii="宋体" w:hAnsi="宋体"/>
          <w:color w:val="auto"/>
          <w:sz w:val="24"/>
        </w:rPr>
        <w:t>）</w:t>
      </w:r>
      <w:r>
        <w:rPr>
          <w:rFonts w:hint="eastAsia" w:ascii="宋体" w:hAnsi="宋体"/>
          <w:color w:val="auto"/>
          <w:sz w:val="24"/>
        </w:rPr>
        <w:t>；</w:t>
      </w:r>
    </w:p>
    <w:p>
      <w:pPr>
        <w:widowControl/>
        <w:numPr>
          <w:ilvl w:val="0"/>
          <w:numId w:val="1"/>
        </w:numPr>
        <w:tabs>
          <w:tab w:val="left" w:pos="284"/>
          <w:tab w:val="left" w:pos="567"/>
        </w:tabs>
        <w:spacing w:line="500" w:lineRule="exact"/>
        <w:ind w:firstLine="480" w:firstLineChars="200"/>
        <w:rPr>
          <w:rFonts w:ascii="宋体" w:hAnsi="宋体"/>
          <w:color w:val="auto"/>
          <w:sz w:val="24"/>
        </w:rPr>
      </w:pPr>
      <w:r>
        <w:rPr>
          <w:rFonts w:hint="eastAsia" w:ascii="宋体" w:hAnsi="宋体"/>
          <w:color w:val="auto"/>
          <w:sz w:val="24"/>
        </w:rPr>
        <w:t>《中华人民共和国突发事件应对法》（</w:t>
      </w:r>
      <w:r>
        <w:rPr>
          <w:rFonts w:ascii="宋体" w:hAnsi="宋体"/>
          <w:color w:val="auto"/>
          <w:sz w:val="24"/>
        </w:rPr>
        <w:t>中华人民共和国主席令第</w:t>
      </w:r>
      <w:r>
        <w:rPr>
          <w:rFonts w:hint="eastAsia" w:ascii="宋体" w:hAnsi="宋体"/>
          <w:color w:val="auto"/>
          <w:sz w:val="24"/>
        </w:rPr>
        <w:t>六十九号，</w:t>
      </w:r>
      <w:r>
        <w:rPr>
          <w:rFonts w:ascii="宋体" w:hAnsi="宋体"/>
          <w:color w:val="auto"/>
          <w:sz w:val="24"/>
        </w:rPr>
        <w:t>2007年8月30日</w:t>
      </w:r>
      <w:r>
        <w:rPr>
          <w:rFonts w:hint="eastAsia" w:ascii="宋体" w:hAnsi="宋体"/>
          <w:color w:val="auto"/>
          <w:sz w:val="24"/>
        </w:rPr>
        <w:t>公布</w:t>
      </w:r>
      <w:r>
        <w:rPr>
          <w:rFonts w:ascii="宋体" w:hAnsi="宋体"/>
          <w:color w:val="auto"/>
          <w:sz w:val="24"/>
        </w:rPr>
        <w:t>，2007年11月1日起施行</w:t>
      </w:r>
      <w:r>
        <w:rPr>
          <w:rFonts w:hint="eastAsia" w:ascii="宋体" w:hAnsi="宋体"/>
          <w:color w:val="auto"/>
          <w:sz w:val="24"/>
        </w:rPr>
        <w:t>）；</w:t>
      </w:r>
    </w:p>
    <w:p>
      <w:pPr>
        <w:widowControl/>
        <w:numPr>
          <w:ilvl w:val="0"/>
          <w:numId w:val="1"/>
        </w:numPr>
        <w:tabs>
          <w:tab w:val="left" w:pos="284"/>
          <w:tab w:val="left" w:pos="567"/>
        </w:tabs>
        <w:spacing w:line="500" w:lineRule="exact"/>
        <w:ind w:firstLine="480" w:firstLineChars="200"/>
        <w:rPr>
          <w:rFonts w:ascii="宋体" w:hAnsi="宋体"/>
          <w:color w:val="auto"/>
          <w:sz w:val="24"/>
        </w:rPr>
      </w:pPr>
      <w:r>
        <w:rPr>
          <w:rFonts w:ascii="宋体" w:hAnsi="宋体"/>
          <w:color w:val="auto"/>
          <w:sz w:val="24"/>
        </w:rPr>
        <w:t>《中华人民共和国特种设备安全法》（中华人民共和国主席令第</w:t>
      </w:r>
      <w:r>
        <w:rPr>
          <w:rFonts w:hint="eastAsia" w:ascii="宋体" w:hAnsi="宋体"/>
          <w:color w:val="auto"/>
          <w:sz w:val="24"/>
        </w:rPr>
        <w:t>四</w:t>
      </w:r>
      <w:r>
        <w:rPr>
          <w:rFonts w:ascii="宋体" w:hAnsi="宋体"/>
          <w:color w:val="auto"/>
          <w:sz w:val="24"/>
        </w:rPr>
        <w:t>号，2013年6月29日</w:t>
      </w:r>
      <w:r>
        <w:rPr>
          <w:rFonts w:hint="eastAsia" w:ascii="宋体" w:hAnsi="宋体"/>
          <w:color w:val="auto"/>
          <w:sz w:val="24"/>
        </w:rPr>
        <w:t>公布</w:t>
      </w:r>
      <w:r>
        <w:rPr>
          <w:rFonts w:ascii="宋体" w:hAnsi="宋体"/>
          <w:color w:val="auto"/>
          <w:sz w:val="24"/>
        </w:rPr>
        <w:t>，自2014年1月1日起施行）</w:t>
      </w:r>
      <w:r>
        <w:rPr>
          <w:rFonts w:hint="eastAsia" w:ascii="宋体" w:hAnsi="宋体"/>
          <w:color w:val="auto"/>
          <w:sz w:val="24"/>
        </w:rPr>
        <w:t>。</w:t>
      </w:r>
    </w:p>
    <w:p>
      <w:pPr>
        <w:widowControl/>
        <w:spacing w:line="500" w:lineRule="exact"/>
        <w:ind w:firstLine="482" w:firstLineChars="200"/>
        <w:rPr>
          <w:rFonts w:ascii="宋体" w:hAnsi="宋体"/>
          <w:b/>
          <w:color w:val="auto"/>
          <w:sz w:val="24"/>
        </w:rPr>
      </w:pPr>
      <w:bookmarkStart w:id="63" w:name="_Toc213727786"/>
      <w:bookmarkStart w:id="64" w:name="_Toc301171588"/>
      <w:bookmarkStart w:id="65" w:name="_Toc158167826"/>
      <w:bookmarkStart w:id="66" w:name="_Toc290307395"/>
      <w:bookmarkStart w:id="67" w:name="_Toc158167939"/>
      <w:r>
        <w:rPr>
          <w:rFonts w:hint="eastAsia" w:ascii="宋体" w:hAnsi="宋体"/>
          <w:b/>
          <w:color w:val="auto"/>
          <w:sz w:val="24"/>
        </w:rPr>
        <w:t>（2）行政法规</w:t>
      </w:r>
      <w:bookmarkEnd w:id="63"/>
      <w:bookmarkEnd w:id="64"/>
      <w:bookmarkEnd w:id="65"/>
      <w:bookmarkEnd w:id="66"/>
      <w:bookmarkEnd w:id="67"/>
    </w:p>
    <w:p>
      <w:pPr>
        <w:widowControl/>
        <w:numPr>
          <w:ilvl w:val="0"/>
          <w:numId w:val="2"/>
        </w:numPr>
        <w:tabs>
          <w:tab w:val="left" w:pos="284"/>
          <w:tab w:val="left" w:pos="567"/>
        </w:tabs>
        <w:spacing w:line="500" w:lineRule="exact"/>
        <w:ind w:firstLine="480" w:firstLineChars="200"/>
        <w:rPr>
          <w:rFonts w:ascii="宋体" w:hAnsi="宋体"/>
          <w:color w:val="auto"/>
          <w:sz w:val="24"/>
        </w:rPr>
      </w:pPr>
      <w:bookmarkStart w:id="68" w:name="_Toc233881317"/>
      <w:bookmarkStart w:id="69" w:name="_Toc301171590"/>
      <w:bookmarkStart w:id="70" w:name="_Toc238813762"/>
      <w:bookmarkStart w:id="71" w:name="_Toc213727788"/>
      <w:bookmarkStart w:id="72" w:name="_Toc290307397"/>
      <w:bookmarkStart w:id="73" w:name="_Toc290307396"/>
      <w:bookmarkStart w:id="74" w:name="_Toc301171589"/>
      <w:bookmarkStart w:id="75" w:name="_Toc213727787"/>
      <w:r>
        <w:rPr>
          <w:rFonts w:hint="eastAsia" w:ascii="宋体" w:hAnsi="宋体"/>
          <w:color w:val="auto"/>
          <w:sz w:val="24"/>
        </w:rPr>
        <w:t>《电力设施保护条例》</w:t>
      </w:r>
      <w:bookmarkStart w:id="76" w:name="1_1"/>
      <w:bookmarkEnd w:id="76"/>
      <w:r>
        <w:rPr>
          <w:rFonts w:hint="eastAsia" w:ascii="宋体" w:hAnsi="宋体"/>
          <w:color w:val="auto"/>
          <w:sz w:val="24"/>
        </w:rPr>
        <w:t>（中华人民共和国国务院令第239号，1998年01月07日发布并执行）；</w:t>
      </w:r>
    </w:p>
    <w:p>
      <w:pPr>
        <w:widowControl/>
        <w:numPr>
          <w:ilvl w:val="0"/>
          <w:numId w:val="2"/>
        </w:numPr>
        <w:tabs>
          <w:tab w:val="left" w:pos="284"/>
          <w:tab w:val="left" w:pos="567"/>
        </w:tabs>
        <w:spacing w:line="500" w:lineRule="exact"/>
        <w:ind w:firstLine="480" w:firstLineChars="200"/>
        <w:rPr>
          <w:rFonts w:ascii="宋体" w:hAnsi="宋体"/>
          <w:color w:val="auto"/>
          <w:sz w:val="24"/>
        </w:rPr>
      </w:pPr>
      <w:r>
        <w:rPr>
          <w:rFonts w:hint="eastAsia" w:ascii="宋体" w:hAnsi="宋体"/>
          <w:color w:val="auto"/>
          <w:sz w:val="24"/>
        </w:rPr>
        <w:t>《特种设备安全监察条例》（中华人民共和国国务院令第549号，自2009年5月1日起施行）；</w:t>
      </w:r>
    </w:p>
    <w:p>
      <w:pPr>
        <w:widowControl/>
        <w:numPr>
          <w:ilvl w:val="0"/>
          <w:numId w:val="2"/>
        </w:numPr>
        <w:tabs>
          <w:tab w:val="left" w:pos="284"/>
          <w:tab w:val="left" w:pos="567"/>
        </w:tabs>
        <w:spacing w:line="500" w:lineRule="exact"/>
        <w:ind w:firstLine="480" w:firstLineChars="200"/>
        <w:rPr>
          <w:rFonts w:ascii="宋体" w:hAnsi="宋体"/>
          <w:color w:val="auto"/>
          <w:sz w:val="24"/>
        </w:rPr>
      </w:pPr>
      <w:r>
        <w:rPr>
          <w:rFonts w:hint="eastAsia" w:ascii="宋体" w:hAnsi="宋体"/>
          <w:color w:val="auto"/>
          <w:sz w:val="24"/>
        </w:rPr>
        <w:t>《国务院关于修改〈工伤保险条例〉的决定》（国务院586号令，2011年1月1日起施行）；</w:t>
      </w:r>
    </w:p>
    <w:p>
      <w:pPr>
        <w:widowControl/>
        <w:numPr>
          <w:ilvl w:val="0"/>
          <w:numId w:val="2"/>
        </w:numPr>
        <w:tabs>
          <w:tab w:val="left" w:pos="284"/>
          <w:tab w:val="left" w:pos="567"/>
        </w:tabs>
        <w:spacing w:line="500" w:lineRule="exact"/>
        <w:ind w:firstLine="480" w:firstLineChars="200"/>
        <w:rPr>
          <w:rFonts w:ascii="宋体" w:hAnsi="宋体"/>
          <w:color w:val="auto"/>
          <w:sz w:val="24"/>
        </w:rPr>
      </w:pPr>
      <w:r>
        <w:rPr>
          <w:rFonts w:hint="eastAsia" w:ascii="宋体" w:hAnsi="宋体"/>
          <w:color w:val="auto"/>
          <w:sz w:val="24"/>
        </w:rPr>
        <w:t>《公路安全保护条例》（2011年2月16日国务院第144次常务会议通过，2011年7月1日起施行）；</w:t>
      </w:r>
    </w:p>
    <w:p>
      <w:pPr>
        <w:widowControl/>
        <w:numPr>
          <w:ilvl w:val="0"/>
          <w:numId w:val="2"/>
        </w:numPr>
        <w:tabs>
          <w:tab w:val="left" w:pos="284"/>
          <w:tab w:val="left" w:pos="567"/>
        </w:tabs>
        <w:spacing w:line="500" w:lineRule="exact"/>
        <w:ind w:firstLine="480" w:firstLineChars="200"/>
        <w:rPr>
          <w:rFonts w:ascii="宋体" w:hAnsi="宋体"/>
          <w:color w:val="auto"/>
          <w:sz w:val="24"/>
        </w:rPr>
      </w:pPr>
      <w:r>
        <w:rPr>
          <w:rFonts w:hint="eastAsia" w:ascii="宋体" w:hAnsi="宋体"/>
          <w:color w:val="auto"/>
          <w:sz w:val="24"/>
        </w:rPr>
        <w:t>《铁路安全管理条例》（国务院第639号令，2013年7月24日国务院第18次常务会议通过，自2014年1月1日起施行）；</w:t>
      </w:r>
    </w:p>
    <w:p>
      <w:pPr>
        <w:widowControl/>
        <w:numPr>
          <w:ilvl w:val="0"/>
          <w:numId w:val="2"/>
        </w:numPr>
        <w:tabs>
          <w:tab w:val="left" w:pos="284"/>
          <w:tab w:val="left" w:pos="567"/>
        </w:tabs>
        <w:spacing w:line="500" w:lineRule="exact"/>
        <w:ind w:firstLine="480" w:firstLineChars="200"/>
        <w:rPr>
          <w:rFonts w:ascii="宋体" w:hAnsi="宋体"/>
          <w:color w:val="auto"/>
          <w:sz w:val="24"/>
        </w:rPr>
      </w:pPr>
      <w:r>
        <w:rPr>
          <w:rFonts w:hint="eastAsia" w:ascii="宋体" w:hAnsi="宋体"/>
          <w:color w:val="auto"/>
          <w:sz w:val="24"/>
        </w:rPr>
        <w:t>《安全生产许可证条例》（2004年1月13日中华人民共和国国务院令第397号公布　根据2013年7月18日《国务院关于废止和修改部分行政法规的决定》第一次修订　根据2014年7月29日《国务院关于修改部分行政法规的决定》第二次修订）；</w:t>
      </w:r>
    </w:p>
    <w:p>
      <w:pPr>
        <w:widowControl/>
        <w:numPr>
          <w:ilvl w:val="0"/>
          <w:numId w:val="2"/>
        </w:numPr>
        <w:tabs>
          <w:tab w:val="left" w:pos="284"/>
          <w:tab w:val="left" w:pos="567"/>
        </w:tabs>
        <w:spacing w:line="500" w:lineRule="exact"/>
        <w:ind w:firstLine="480" w:firstLineChars="200"/>
        <w:rPr>
          <w:rFonts w:ascii="宋体" w:hAnsi="宋体"/>
          <w:color w:val="auto"/>
          <w:sz w:val="24"/>
        </w:rPr>
      </w:pPr>
      <w:r>
        <w:rPr>
          <w:rFonts w:hint="eastAsia" w:ascii="宋体" w:hAnsi="宋体"/>
          <w:color w:val="auto"/>
          <w:sz w:val="24"/>
        </w:rPr>
        <w:t>《生产安全事故应急条例》（国务院第708号令，2019年4月1日起施行）。</w:t>
      </w:r>
    </w:p>
    <w:bookmarkEnd w:id="68"/>
    <w:bookmarkEnd w:id="69"/>
    <w:bookmarkEnd w:id="70"/>
    <w:bookmarkEnd w:id="71"/>
    <w:bookmarkEnd w:id="72"/>
    <w:p>
      <w:pPr>
        <w:widowControl/>
        <w:spacing w:line="500" w:lineRule="exact"/>
        <w:ind w:firstLine="482" w:firstLineChars="200"/>
        <w:rPr>
          <w:rFonts w:ascii="宋体" w:hAnsi="宋体"/>
          <w:b/>
          <w:color w:val="auto"/>
          <w:sz w:val="24"/>
        </w:rPr>
      </w:pPr>
      <w:r>
        <w:rPr>
          <w:rFonts w:hint="eastAsia" w:ascii="宋体" w:hAnsi="宋体"/>
          <w:b/>
          <w:color w:val="auto"/>
          <w:sz w:val="24"/>
        </w:rPr>
        <w:t>（3）部门规章</w:t>
      </w:r>
    </w:p>
    <w:bookmarkEnd w:id="73"/>
    <w:bookmarkEnd w:id="74"/>
    <w:bookmarkEnd w:id="75"/>
    <w:p>
      <w:pPr>
        <w:widowControl/>
        <w:numPr>
          <w:ilvl w:val="0"/>
          <w:numId w:val="3"/>
        </w:numPr>
        <w:tabs>
          <w:tab w:val="left" w:pos="284"/>
          <w:tab w:val="left" w:pos="567"/>
        </w:tabs>
        <w:spacing w:line="500" w:lineRule="exact"/>
        <w:ind w:left="0" w:firstLine="480" w:firstLineChars="200"/>
        <w:rPr>
          <w:rFonts w:ascii="宋体" w:hAnsi="宋体"/>
          <w:color w:val="auto"/>
          <w:sz w:val="24"/>
        </w:rPr>
      </w:pPr>
      <w:bookmarkStart w:id="77" w:name="_Toc301171592"/>
      <w:bookmarkStart w:id="78" w:name="_Toc290307399"/>
      <w:r>
        <w:rPr>
          <w:rFonts w:hint="eastAsia" w:ascii="宋体" w:hAnsi="宋体"/>
          <w:color w:val="auto"/>
          <w:sz w:val="24"/>
        </w:rPr>
        <w:t>《电力设施保护条例实施细则》（由</w:t>
      </w:r>
      <w:r>
        <w:rPr>
          <w:rFonts w:hint="eastAsia"/>
          <w:color w:val="auto"/>
        </w:rPr>
        <w:fldChar w:fldCharType="begin"/>
      </w:r>
      <w:r>
        <w:rPr>
          <w:color w:val="auto"/>
        </w:rPr>
        <w:instrText xml:space="preserve"> HYPERLINK "http://baike.baidu.com/view/1256.htm" \t "_blank" </w:instrText>
      </w:r>
      <w:r>
        <w:rPr>
          <w:rFonts w:hint="eastAsia"/>
          <w:color w:val="auto"/>
        </w:rPr>
        <w:fldChar w:fldCharType="separate"/>
      </w:r>
      <w:r>
        <w:rPr>
          <w:rFonts w:hint="eastAsia" w:ascii="宋体" w:hAnsi="宋体"/>
          <w:color w:val="auto"/>
          <w:sz w:val="24"/>
        </w:rPr>
        <w:t>中华人民共和国</w:t>
      </w:r>
      <w:r>
        <w:rPr>
          <w:rFonts w:hint="eastAsia" w:ascii="宋体" w:hAnsi="宋体"/>
          <w:color w:val="auto"/>
          <w:sz w:val="24"/>
        </w:rPr>
        <w:fldChar w:fldCharType="end"/>
      </w:r>
      <w:r>
        <w:rPr>
          <w:rFonts w:hint="eastAsia" w:ascii="宋体" w:hAnsi="宋体"/>
          <w:color w:val="auto"/>
          <w:sz w:val="24"/>
        </w:rPr>
        <w:t>国家经济贸易委员会、</w:t>
      </w:r>
      <w:r>
        <w:rPr>
          <w:rFonts w:hint="eastAsia"/>
          <w:color w:val="auto"/>
        </w:rPr>
        <w:fldChar w:fldCharType="begin"/>
      </w:r>
      <w:r>
        <w:rPr>
          <w:color w:val="auto"/>
        </w:rPr>
        <w:instrText xml:space="preserve"> HYPERLINK "http://baike.baidu.com/view/193820.htm" \t "_blank" </w:instrText>
      </w:r>
      <w:r>
        <w:rPr>
          <w:rFonts w:hint="eastAsia"/>
          <w:color w:val="auto"/>
        </w:rPr>
        <w:fldChar w:fldCharType="separate"/>
      </w:r>
      <w:r>
        <w:rPr>
          <w:rFonts w:hint="eastAsia" w:ascii="宋体" w:hAnsi="宋体"/>
          <w:color w:val="auto"/>
          <w:sz w:val="24"/>
        </w:rPr>
        <w:t>中华人民共和国公安部</w:t>
      </w:r>
      <w:r>
        <w:rPr>
          <w:rFonts w:hint="eastAsia" w:ascii="宋体" w:hAnsi="宋体"/>
          <w:color w:val="auto"/>
          <w:sz w:val="24"/>
        </w:rPr>
        <w:fldChar w:fldCharType="end"/>
      </w:r>
      <w:r>
        <w:rPr>
          <w:rFonts w:hint="eastAsia" w:ascii="宋体" w:hAnsi="宋体"/>
          <w:color w:val="auto"/>
          <w:sz w:val="24"/>
        </w:rPr>
        <w:t>，1999年3月18日颁布实施）；</w:t>
      </w:r>
    </w:p>
    <w:p>
      <w:pPr>
        <w:widowControl/>
        <w:numPr>
          <w:ilvl w:val="0"/>
          <w:numId w:val="3"/>
        </w:numPr>
        <w:tabs>
          <w:tab w:val="left" w:pos="284"/>
          <w:tab w:val="left" w:pos="567"/>
        </w:tabs>
        <w:spacing w:line="500" w:lineRule="exact"/>
        <w:ind w:left="0" w:firstLine="480" w:firstLineChars="200"/>
        <w:rPr>
          <w:rFonts w:ascii="宋体" w:hAnsi="宋体"/>
          <w:color w:val="auto"/>
          <w:sz w:val="24"/>
        </w:rPr>
      </w:pPr>
      <w:r>
        <w:rPr>
          <w:rFonts w:hint="eastAsia" w:ascii="宋体" w:hAnsi="宋体"/>
          <w:color w:val="auto"/>
          <w:sz w:val="24"/>
        </w:rPr>
        <w:t>《安全生产事故隐患排查治理暂行规定》（国家安全生产监督管理总局令第16号，自2008年2月1日起施行）；</w:t>
      </w:r>
    </w:p>
    <w:p>
      <w:pPr>
        <w:widowControl/>
        <w:numPr>
          <w:ilvl w:val="0"/>
          <w:numId w:val="3"/>
        </w:numPr>
        <w:tabs>
          <w:tab w:val="left" w:pos="284"/>
          <w:tab w:val="left" w:pos="567"/>
        </w:tabs>
        <w:spacing w:line="500" w:lineRule="exact"/>
        <w:ind w:left="0" w:firstLine="480" w:firstLineChars="200"/>
        <w:rPr>
          <w:rFonts w:ascii="宋体" w:hAnsi="宋体"/>
          <w:color w:val="auto"/>
          <w:sz w:val="24"/>
        </w:rPr>
      </w:pPr>
      <w:r>
        <w:rPr>
          <w:rFonts w:hint="eastAsia" w:ascii="宋体" w:hAnsi="宋体"/>
          <w:color w:val="auto"/>
          <w:sz w:val="24"/>
        </w:rPr>
        <w:t>关于印发《企业安全生产费用提取和使用管理办法》的通知（财政部 应急部，财资〔2022〕136号，2022年11月21日）；</w:t>
      </w:r>
    </w:p>
    <w:p>
      <w:pPr>
        <w:widowControl/>
        <w:numPr>
          <w:ilvl w:val="0"/>
          <w:numId w:val="3"/>
        </w:numPr>
        <w:tabs>
          <w:tab w:val="left" w:pos="284"/>
          <w:tab w:val="left" w:pos="567"/>
        </w:tabs>
        <w:spacing w:line="500" w:lineRule="exact"/>
        <w:ind w:left="0" w:firstLine="480" w:firstLineChars="200"/>
        <w:rPr>
          <w:rFonts w:ascii="宋体" w:hAnsi="宋体"/>
          <w:color w:val="auto"/>
          <w:sz w:val="24"/>
        </w:rPr>
      </w:pPr>
      <w:r>
        <w:rPr>
          <w:rFonts w:hint="eastAsia" w:ascii="宋体" w:hAnsi="宋体"/>
          <w:color w:val="auto"/>
          <w:sz w:val="24"/>
        </w:rPr>
        <w:t>《建设项目安全设施“三同时”监督管理办法》（国家安全生产监督管理总局令第36号，77号修改，自</w:t>
      </w:r>
      <w:r>
        <w:rPr>
          <w:rFonts w:ascii="宋体" w:hAnsi="宋体"/>
          <w:color w:val="auto"/>
          <w:sz w:val="24"/>
        </w:rPr>
        <w:t>201</w:t>
      </w:r>
      <w:r>
        <w:rPr>
          <w:rFonts w:hint="eastAsia" w:ascii="宋体" w:hAnsi="宋体"/>
          <w:color w:val="auto"/>
          <w:sz w:val="24"/>
        </w:rPr>
        <w:t>5年5月</w:t>
      </w:r>
      <w:r>
        <w:rPr>
          <w:rFonts w:ascii="宋体" w:hAnsi="宋体"/>
          <w:color w:val="auto"/>
          <w:sz w:val="24"/>
        </w:rPr>
        <w:t>1</w:t>
      </w:r>
      <w:r>
        <w:rPr>
          <w:rFonts w:hint="eastAsia" w:ascii="宋体" w:hAnsi="宋体"/>
          <w:color w:val="auto"/>
          <w:sz w:val="24"/>
        </w:rPr>
        <w:t>日起施行）；</w:t>
      </w:r>
    </w:p>
    <w:p>
      <w:pPr>
        <w:widowControl/>
        <w:numPr>
          <w:ilvl w:val="0"/>
          <w:numId w:val="3"/>
        </w:numPr>
        <w:tabs>
          <w:tab w:val="left" w:pos="284"/>
          <w:tab w:val="left" w:pos="567"/>
        </w:tabs>
        <w:spacing w:line="500" w:lineRule="exact"/>
        <w:ind w:left="0" w:firstLine="480" w:firstLineChars="200"/>
        <w:rPr>
          <w:rFonts w:ascii="宋体" w:hAnsi="宋体"/>
          <w:color w:val="auto"/>
          <w:sz w:val="24"/>
        </w:rPr>
      </w:pPr>
      <w:r>
        <w:rPr>
          <w:rFonts w:hint="eastAsia" w:ascii="宋体" w:hAnsi="宋体"/>
          <w:color w:val="auto"/>
          <w:sz w:val="24"/>
        </w:rPr>
        <w:t>《金属非金属矿山建设项目安全设施目录（试行）》（国家安全生产监督管理总局令第75号，自</w:t>
      </w:r>
      <w:r>
        <w:rPr>
          <w:rFonts w:ascii="宋体" w:hAnsi="宋体"/>
          <w:color w:val="auto"/>
          <w:sz w:val="24"/>
        </w:rPr>
        <w:t>2015</w:t>
      </w:r>
      <w:r>
        <w:rPr>
          <w:rFonts w:hint="eastAsia" w:ascii="宋体" w:hAnsi="宋体"/>
          <w:color w:val="auto"/>
          <w:sz w:val="24"/>
        </w:rPr>
        <w:t>年</w:t>
      </w:r>
      <w:r>
        <w:rPr>
          <w:rFonts w:ascii="宋体" w:hAnsi="宋体"/>
          <w:color w:val="auto"/>
          <w:sz w:val="24"/>
        </w:rPr>
        <w:t>7</w:t>
      </w:r>
      <w:r>
        <w:rPr>
          <w:rFonts w:hint="eastAsia" w:ascii="宋体" w:hAnsi="宋体"/>
          <w:color w:val="auto"/>
          <w:sz w:val="24"/>
        </w:rPr>
        <w:t>月</w:t>
      </w:r>
      <w:r>
        <w:rPr>
          <w:rFonts w:ascii="宋体" w:hAnsi="宋体"/>
          <w:color w:val="auto"/>
          <w:sz w:val="24"/>
        </w:rPr>
        <w:t>1</w:t>
      </w:r>
      <w:r>
        <w:rPr>
          <w:rFonts w:hint="eastAsia" w:ascii="宋体" w:hAnsi="宋体"/>
          <w:color w:val="auto"/>
          <w:sz w:val="24"/>
        </w:rPr>
        <w:t>日起施行）；</w:t>
      </w:r>
    </w:p>
    <w:p>
      <w:pPr>
        <w:widowControl/>
        <w:numPr>
          <w:ilvl w:val="0"/>
          <w:numId w:val="3"/>
        </w:numPr>
        <w:tabs>
          <w:tab w:val="left" w:pos="284"/>
          <w:tab w:val="left" w:pos="567"/>
        </w:tabs>
        <w:spacing w:line="500" w:lineRule="exact"/>
        <w:ind w:left="0" w:firstLine="480" w:firstLineChars="200"/>
        <w:rPr>
          <w:rFonts w:ascii="宋体" w:hAnsi="宋体"/>
          <w:color w:val="auto"/>
          <w:sz w:val="24"/>
        </w:rPr>
      </w:pPr>
      <w:r>
        <w:rPr>
          <w:rFonts w:ascii="宋体" w:hAnsi="宋体"/>
          <w:color w:val="auto"/>
          <w:sz w:val="24"/>
        </w:rPr>
        <w:t>《</w:t>
      </w:r>
      <w:r>
        <w:rPr>
          <w:rFonts w:hint="eastAsia" w:ascii="宋体" w:hAnsi="宋体"/>
          <w:color w:val="auto"/>
          <w:sz w:val="24"/>
        </w:rPr>
        <w:t>非煤矿矿山企业安全生产许可证实施办法</w:t>
      </w:r>
      <w:r>
        <w:rPr>
          <w:rFonts w:ascii="宋体" w:hAnsi="宋体"/>
          <w:color w:val="auto"/>
          <w:sz w:val="24"/>
        </w:rPr>
        <w:t>》（</w:t>
      </w:r>
      <w:r>
        <w:rPr>
          <w:rFonts w:hint="eastAsia" w:ascii="宋体" w:hAnsi="宋体"/>
          <w:color w:val="auto"/>
          <w:sz w:val="24"/>
        </w:rPr>
        <w:t>国家安全生产监督管理总局令20号，第78号修改，2015年7月1日施行</w:t>
      </w:r>
      <w:r>
        <w:rPr>
          <w:rFonts w:ascii="宋体" w:hAnsi="宋体"/>
          <w:color w:val="auto"/>
          <w:sz w:val="24"/>
        </w:rPr>
        <w:t>）</w:t>
      </w:r>
      <w:r>
        <w:rPr>
          <w:rFonts w:hint="eastAsia" w:ascii="宋体" w:hAnsi="宋体"/>
          <w:color w:val="auto"/>
          <w:sz w:val="24"/>
        </w:rPr>
        <w:t>；</w:t>
      </w:r>
    </w:p>
    <w:p>
      <w:pPr>
        <w:widowControl/>
        <w:numPr>
          <w:ilvl w:val="0"/>
          <w:numId w:val="3"/>
        </w:numPr>
        <w:tabs>
          <w:tab w:val="left" w:pos="284"/>
          <w:tab w:val="left" w:pos="567"/>
        </w:tabs>
        <w:spacing w:line="500" w:lineRule="exact"/>
        <w:ind w:left="0" w:firstLine="480" w:firstLineChars="200"/>
        <w:rPr>
          <w:rFonts w:ascii="宋体" w:hAnsi="宋体"/>
          <w:color w:val="auto"/>
          <w:sz w:val="24"/>
        </w:rPr>
      </w:pPr>
      <w:r>
        <w:rPr>
          <w:rFonts w:hint="eastAsia" w:ascii="宋体" w:hAnsi="宋体"/>
          <w:color w:val="auto"/>
          <w:sz w:val="24"/>
        </w:rPr>
        <w:t>《国家安全监管总局关于修改和废止部分规章及规范性文件的决定》（国家安全生产监督管理总局89号令，2017年3月6日公布，自公布之日起施行）；</w:t>
      </w:r>
    </w:p>
    <w:p>
      <w:pPr>
        <w:widowControl/>
        <w:numPr>
          <w:ilvl w:val="0"/>
          <w:numId w:val="3"/>
        </w:numPr>
        <w:tabs>
          <w:tab w:val="left" w:pos="284"/>
          <w:tab w:val="left" w:pos="567"/>
        </w:tabs>
        <w:spacing w:line="500" w:lineRule="exact"/>
        <w:ind w:left="0" w:firstLine="480" w:firstLineChars="200"/>
        <w:rPr>
          <w:rFonts w:ascii="宋体" w:hAnsi="宋体"/>
          <w:color w:val="auto"/>
          <w:sz w:val="24"/>
        </w:rPr>
      </w:pPr>
      <w:r>
        <w:rPr>
          <w:rFonts w:hint="eastAsia" w:ascii="宋体" w:hAnsi="宋体"/>
          <w:color w:val="auto"/>
          <w:sz w:val="24"/>
        </w:rPr>
        <w:t>《国家安全监管总局 保监会 财政部关于印发&lt;安全生产责任保险实施办法&gt;的通知》（安监总办〔2017〕140号，2017年12月12日）；</w:t>
      </w:r>
    </w:p>
    <w:p>
      <w:pPr>
        <w:widowControl/>
        <w:numPr>
          <w:ilvl w:val="0"/>
          <w:numId w:val="3"/>
        </w:numPr>
        <w:tabs>
          <w:tab w:val="left" w:pos="284"/>
          <w:tab w:val="left" w:pos="567"/>
        </w:tabs>
        <w:spacing w:line="500" w:lineRule="exact"/>
        <w:ind w:left="0" w:firstLine="480" w:firstLineChars="200"/>
        <w:rPr>
          <w:rFonts w:ascii="宋体" w:hAnsi="宋体"/>
          <w:color w:val="auto"/>
          <w:sz w:val="24"/>
        </w:rPr>
      </w:pPr>
      <w:r>
        <w:rPr>
          <w:rFonts w:hint="eastAsia" w:ascii="宋体" w:hAnsi="宋体"/>
          <w:color w:val="auto"/>
          <w:sz w:val="24"/>
        </w:rPr>
        <w:t>《安全评价检测检验机构管理办法》（中华人民共和国应急管理部第1号，2019年3月20日公布，自2019年5月1日起施行）；</w:t>
      </w:r>
    </w:p>
    <w:p>
      <w:pPr>
        <w:widowControl/>
        <w:numPr>
          <w:ilvl w:val="0"/>
          <w:numId w:val="3"/>
        </w:numPr>
        <w:tabs>
          <w:tab w:val="left" w:pos="284"/>
          <w:tab w:val="left" w:pos="567"/>
        </w:tabs>
        <w:spacing w:line="500" w:lineRule="exact"/>
        <w:ind w:left="0" w:firstLine="480" w:firstLineChars="200"/>
        <w:rPr>
          <w:rFonts w:ascii="宋体" w:hAnsi="宋体"/>
          <w:color w:val="auto"/>
          <w:sz w:val="24"/>
        </w:rPr>
      </w:pPr>
      <w:r>
        <w:rPr>
          <w:rFonts w:hint="eastAsia" w:ascii="宋体" w:hAnsi="宋体"/>
          <w:color w:val="auto"/>
          <w:sz w:val="24"/>
        </w:rPr>
        <w:t>《生产安全事故应急救援预案管理办法》（国家安全生产监督管理总局88号令，中华人民共和国应急管理部第2号修正，2016年7月1日起施行，修正内容自2019年9月1日起施行）；</w:t>
      </w:r>
    </w:p>
    <w:p>
      <w:pPr>
        <w:widowControl/>
        <w:numPr>
          <w:ilvl w:val="0"/>
          <w:numId w:val="3"/>
        </w:numPr>
        <w:tabs>
          <w:tab w:val="left" w:pos="284"/>
          <w:tab w:val="left" w:pos="567"/>
        </w:tabs>
        <w:spacing w:line="500" w:lineRule="exact"/>
        <w:ind w:left="0" w:firstLine="480" w:firstLineChars="200"/>
        <w:rPr>
          <w:rFonts w:ascii="宋体" w:hAnsi="宋体"/>
          <w:color w:val="auto"/>
          <w:sz w:val="24"/>
        </w:rPr>
      </w:pPr>
      <w:r>
        <w:rPr>
          <w:rFonts w:hint="eastAsia" w:ascii="宋体" w:hAnsi="宋体"/>
          <w:color w:val="auto"/>
          <w:sz w:val="24"/>
        </w:rPr>
        <w:t>《国家矿山安全监察局关于印发&lt;关于加强非煤矿山安全生产工作的指导意见&gt;的通知》（矿安〔2022〕4号，国家矿山安全监察局，</w:t>
      </w:r>
      <w:r>
        <w:rPr>
          <w:rFonts w:ascii="宋体" w:hAnsi="宋体"/>
          <w:color w:val="auto"/>
          <w:sz w:val="24"/>
        </w:rPr>
        <w:t>2022</w:t>
      </w:r>
      <w:r>
        <w:rPr>
          <w:rFonts w:hint="eastAsia" w:ascii="宋体" w:hAnsi="宋体"/>
          <w:color w:val="auto"/>
          <w:sz w:val="24"/>
        </w:rPr>
        <w:t>年</w:t>
      </w:r>
      <w:r>
        <w:rPr>
          <w:rFonts w:ascii="宋体" w:hAnsi="宋体"/>
          <w:color w:val="auto"/>
          <w:sz w:val="24"/>
        </w:rPr>
        <w:t>2</w:t>
      </w:r>
      <w:r>
        <w:rPr>
          <w:rFonts w:hint="eastAsia" w:ascii="宋体" w:hAnsi="宋体"/>
          <w:color w:val="auto"/>
          <w:sz w:val="24"/>
        </w:rPr>
        <w:t>月</w:t>
      </w:r>
      <w:r>
        <w:rPr>
          <w:rFonts w:ascii="宋体" w:hAnsi="宋体"/>
          <w:color w:val="auto"/>
          <w:sz w:val="24"/>
        </w:rPr>
        <w:t>8</w:t>
      </w:r>
      <w:r>
        <w:rPr>
          <w:rFonts w:hint="eastAsia" w:ascii="宋体" w:hAnsi="宋体"/>
          <w:color w:val="auto"/>
          <w:sz w:val="24"/>
        </w:rPr>
        <w:t>日）；</w:t>
      </w:r>
    </w:p>
    <w:p>
      <w:pPr>
        <w:widowControl/>
        <w:numPr>
          <w:ilvl w:val="0"/>
          <w:numId w:val="3"/>
        </w:numPr>
        <w:tabs>
          <w:tab w:val="left" w:pos="284"/>
          <w:tab w:val="left" w:pos="567"/>
        </w:tabs>
        <w:spacing w:line="500" w:lineRule="exact"/>
        <w:ind w:left="0" w:firstLine="480" w:firstLineChars="200"/>
        <w:rPr>
          <w:rFonts w:ascii="宋体" w:hAnsi="宋体"/>
          <w:color w:val="auto"/>
          <w:sz w:val="24"/>
        </w:rPr>
      </w:pPr>
      <w:r>
        <w:rPr>
          <w:rFonts w:hint="eastAsia" w:ascii="宋体" w:hAnsi="宋体"/>
          <w:color w:val="auto"/>
          <w:sz w:val="24"/>
        </w:rPr>
        <w:t>《国家矿山安全监察局关于印发&lt;金属非金属矿山重大事故隐患判定标准&gt;的通知》（国家矿山安全监察局，矿安〔2022〕88号，2022年7月8日）；</w:t>
      </w:r>
    </w:p>
    <w:p>
      <w:pPr>
        <w:widowControl/>
        <w:numPr>
          <w:ilvl w:val="0"/>
          <w:numId w:val="3"/>
        </w:numPr>
        <w:tabs>
          <w:tab w:val="left" w:pos="284"/>
          <w:tab w:val="left" w:pos="567"/>
        </w:tabs>
        <w:spacing w:line="500" w:lineRule="exact"/>
        <w:ind w:left="0" w:firstLine="480" w:firstLineChars="200"/>
        <w:rPr>
          <w:rFonts w:ascii="宋体" w:hAnsi="宋体"/>
          <w:color w:val="auto"/>
          <w:sz w:val="24"/>
        </w:rPr>
      </w:pPr>
      <w:r>
        <w:rPr>
          <w:rFonts w:hint="eastAsia" w:ascii="宋体" w:hAnsi="宋体"/>
          <w:color w:val="auto"/>
          <w:sz w:val="24"/>
        </w:rPr>
        <w:t>《调整&lt;危险化学品目录（2015版）&gt;》（中华人民共和国应急管理部等十部委公告[2022</w:t>
      </w:r>
      <w:r>
        <w:rPr>
          <w:rFonts w:ascii="宋体" w:hAnsi="宋体"/>
          <w:color w:val="auto"/>
          <w:sz w:val="24"/>
        </w:rPr>
        <w:t>]</w:t>
      </w:r>
      <w:r>
        <w:rPr>
          <w:rFonts w:hint="eastAsia" w:ascii="宋体" w:hAnsi="宋体"/>
          <w:color w:val="auto"/>
          <w:sz w:val="24"/>
        </w:rPr>
        <w:t>第8号，自2023年1月1日起施行）；</w:t>
      </w:r>
    </w:p>
    <w:p>
      <w:pPr>
        <w:widowControl/>
        <w:spacing w:line="500" w:lineRule="exact"/>
        <w:ind w:firstLine="482" w:firstLineChars="200"/>
        <w:rPr>
          <w:rFonts w:ascii="宋体" w:hAnsi="宋体"/>
          <w:b/>
          <w:color w:val="auto"/>
          <w:sz w:val="24"/>
        </w:rPr>
      </w:pPr>
      <w:r>
        <w:rPr>
          <w:rFonts w:hint="eastAsia" w:ascii="宋体" w:hAnsi="宋体"/>
          <w:b/>
          <w:color w:val="auto"/>
          <w:sz w:val="24"/>
        </w:rPr>
        <w:t>（4）</w:t>
      </w:r>
      <w:r>
        <w:rPr>
          <w:rFonts w:ascii="宋体" w:hAnsi="宋体"/>
          <w:b/>
          <w:color w:val="auto"/>
          <w:sz w:val="24"/>
        </w:rPr>
        <w:t>地方</w:t>
      </w:r>
      <w:r>
        <w:rPr>
          <w:rFonts w:hint="eastAsia" w:ascii="宋体" w:hAnsi="宋体"/>
          <w:b/>
          <w:color w:val="auto"/>
          <w:sz w:val="24"/>
        </w:rPr>
        <w:t>性法规、政府规章</w:t>
      </w:r>
    </w:p>
    <w:p>
      <w:pPr>
        <w:widowControl/>
        <w:numPr>
          <w:ilvl w:val="0"/>
          <w:numId w:val="4"/>
        </w:numPr>
        <w:tabs>
          <w:tab w:val="left" w:pos="284"/>
          <w:tab w:val="left" w:pos="567"/>
        </w:tabs>
        <w:spacing w:line="500" w:lineRule="exact"/>
        <w:ind w:firstLine="480" w:firstLineChars="200"/>
        <w:rPr>
          <w:rFonts w:ascii="宋体" w:hAnsi="宋体"/>
          <w:color w:val="auto"/>
          <w:sz w:val="24"/>
        </w:rPr>
      </w:pPr>
      <w:r>
        <w:rPr>
          <w:rFonts w:hint="eastAsia" w:ascii="宋体" w:hAnsi="宋体"/>
          <w:color w:val="auto"/>
          <w:sz w:val="24"/>
        </w:rPr>
        <w:t>《</w:t>
      </w:r>
      <w:r>
        <w:rPr>
          <w:rFonts w:ascii="宋体" w:hAnsi="宋体"/>
          <w:color w:val="auto"/>
          <w:sz w:val="24"/>
        </w:rPr>
        <w:t>广东省邮电通信线路保护规定</w:t>
      </w:r>
      <w:r>
        <w:rPr>
          <w:rFonts w:hint="eastAsia" w:ascii="宋体" w:hAnsi="宋体"/>
          <w:color w:val="auto"/>
          <w:sz w:val="24"/>
        </w:rPr>
        <w:t>》（1990年11月28日粤府〔1990〕105号公布，根据1997年12月31日广东省人民政府令第33号修订）</w:t>
      </w:r>
    </w:p>
    <w:p>
      <w:pPr>
        <w:widowControl/>
        <w:numPr>
          <w:ilvl w:val="0"/>
          <w:numId w:val="4"/>
        </w:numPr>
        <w:tabs>
          <w:tab w:val="left" w:pos="284"/>
          <w:tab w:val="left" w:pos="567"/>
        </w:tabs>
        <w:spacing w:line="500" w:lineRule="exact"/>
        <w:ind w:firstLine="480" w:firstLineChars="200"/>
        <w:rPr>
          <w:rFonts w:ascii="宋体" w:hAnsi="宋体"/>
          <w:color w:val="auto"/>
          <w:sz w:val="24"/>
        </w:rPr>
      </w:pPr>
      <w:r>
        <w:rPr>
          <w:rFonts w:ascii="宋体" w:hAnsi="宋体"/>
          <w:color w:val="auto"/>
          <w:sz w:val="24"/>
        </w:rPr>
        <w:t>《广东省建设项目安全设施监督管理办法》（广东省人民政府令第147号</w:t>
      </w:r>
      <w:r>
        <w:rPr>
          <w:rFonts w:hint="eastAsia" w:ascii="宋体" w:hAnsi="宋体"/>
          <w:color w:val="auto"/>
          <w:sz w:val="24"/>
        </w:rPr>
        <w:t>，</w:t>
      </w:r>
      <w:r>
        <w:rPr>
          <w:rFonts w:ascii="宋体" w:hAnsi="宋体"/>
          <w:color w:val="auto"/>
          <w:sz w:val="24"/>
        </w:rPr>
        <w:t>2010年7月15日广东省人民政府第十一届57次常务会议通过，自2010年10月1日起施行）</w:t>
      </w:r>
      <w:r>
        <w:rPr>
          <w:rFonts w:hint="eastAsia" w:ascii="宋体" w:hAnsi="宋体"/>
          <w:color w:val="auto"/>
          <w:sz w:val="24"/>
        </w:rPr>
        <w:t>；</w:t>
      </w:r>
    </w:p>
    <w:p>
      <w:pPr>
        <w:widowControl/>
        <w:numPr>
          <w:ilvl w:val="0"/>
          <w:numId w:val="4"/>
        </w:numPr>
        <w:tabs>
          <w:tab w:val="left" w:pos="284"/>
          <w:tab w:val="left" w:pos="567"/>
        </w:tabs>
        <w:spacing w:line="500" w:lineRule="exact"/>
        <w:ind w:firstLine="480" w:firstLineChars="200"/>
        <w:rPr>
          <w:rFonts w:ascii="宋体" w:hAnsi="宋体"/>
          <w:color w:val="auto"/>
          <w:sz w:val="24"/>
        </w:rPr>
      </w:pPr>
      <w:r>
        <w:rPr>
          <w:rFonts w:hint="eastAsia" w:ascii="宋体" w:hAnsi="宋体"/>
          <w:color w:val="auto"/>
          <w:sz w:val="24"/>
        </w:rPr>
        <w:t>《广东省矿产资源管理条例》</w:t>
      </w:r>
      <w:r>
        <w:rPr>
          <w:rFonts w:ascii="宋体" w:hAnsi="宋体"/>
          <w:color w:val="auto"/>
          <w:sz w:val="24"/>
        </w:rPr>
        <w:t>（1999年9月24日广东省第九届人民代表大会常务委员会第十二次会议通过</w:t>
      </w:r>
      <w:r>
        <w:rPr>
          <w:rFonts w:hint="eastAsia" w:ascii="宋体" w:hAnsi="宋体"/>
          <w:color w:val="auto"/>
          <w:sz w:val="24"/>
        </w:rPr>
        <w:t>，</w:t>
      </w:r>
      <w:r>
        <w:rPr>
          <w:rFonts w:ascii="宋体" w:hAnsi="宋体"/>
          <w:color w:val="auto"/>
          <w:sz w:val="24"/>
        </w:rPr>
        <w:t>根据2012年7月26日广东省第十一届人民代表大会常务委员会第三十五次会议《广东省人民代表大会常务委员会关于修改〈广东省民营科技企业管理条例〉等二十三项法规的决定》修正</w:t>
      </w:r>
      <w:r>
        <w:rPr>
          <w:rFonts w:hint="eastAsia" w:ascii="宋体" w:hAnsi="宋体"/>
          <w:color w:val="auto"/>
          <w:sz w:val="24"/>
        </w:rPr>
        <w:t>，自</w:t>
      </w:r>
      <w:r>
        <w:rPr>
          <w:rFonts w:ascii="宋体" w:hAnsi="宋体"/>
          <w:color w:val="auto"/>
          <w:sz w:val="24"/>
        </w:rPr>
        <w:t>201</w:t>
      </w:r>
      <w:r>
        <w:rPr>
          <w:rFonts w:hint="eastAsia" w:ascii="宋体" w:hAnsi="宋体"/>
          <w:color w:val="auto"/>
          <w:sz w:val="24"/>
        </w:rPr>
        <w:t>2年7月26日起施行）；</w:t>
      </w:r>
    </w:p>
    <w:p>
      <w:pPr>
        <w:widowControl/>
        <w:numPr>
          <w:ilvl w:val="0"/>
          <w:numId w:val="4"/>
        </w:numPr>
        <w:tabs>
          <w:tab w:val="left" w:pos="284"/>
          <w:tab w:val="left" w:pos="567"/>
        </w:tabs>
        <w:spacing w:line="500" w:lineRule="exact"/>
        <w:ind w:firstLine="480" w:firstLineChars="200"/>
        <w:rPr>
          <w:rFonts w:ascii="宋体" w:hAnsi="宋体"/>
          <w:color w:val="auto"/>
          <w:sz w:val="24"/>
        </w:rPr>
      </w:pPr>
      <w:r>
        <w:rPr>
          <w:rFonts w:hint="eastAsia" w:ascii="宋体" w:hAnsi="宋体"/>
          <w:color w:val="auto"/>
          <w:sz w:val="24"/>
        </w:rPr>
        <w:t>《广东省公路条例》（2003年1月11日广东省第九届人民代表大会常务委员会第三十九次会议通过，2008年7月31日广东省第十一届人民代表大会常务委员会第四次会议修订，根据2012年7月26日广东省第十一届人民代表大会常务委员会第三十五次会议《广东省人民代表大会常务委员会关于修改〈广东省民营科技企业管理条例〉等二十三项法规的决定》修正）；</w:t>
      </w:r>
    </w:p>
    <w:p>
      <w:pPr>
        <w:widowControl/>
        <w:numPr>
          <w:ilvl w:val="0"/>
          <w:numId w:val="4"/>
        </w:numPr>
        <w:tabs>
          <w:tab w:val="left" w:pos="284"/>
          <w:tab w:val="left" w:pos="567"/>
        </w:tabs>
        <w:spacing w:line="500" w:lineRule="exact"/>
        <w:ind w:firstLine="480" w:firstLineChars="200"/>
        <w:rPr>
          <w:rFonts w:ascii="宋体" w:hAnsi="宋体"/>
          <w:color w:val="auto"/>
          <w:sz w:val="24"/>
        </w:rPr>
      </w:pPr>
      <w:r>
        <w:rPr>
          <w:rFonts w:ascii="宋体" w:hAnsi="宋体"/>
          <w:color w:val="auto"/>
          <w:sz w:val="24"/>
        </w:rPr>
        <w:t>《广东省安全生产条例》（</w:t>
      </w:r>
      <w:r>
        <w:rPr>
          <w:rFonts w:hint="eastAsia" w:ascii="宋体" w:hAnsi="宋体"/>
          <w:color w:val="auto"/>
          <w:sz w:val="24"/>
        </w:rPr>
        <w:t>广东省第十二届人民代表大会常务委员会第三十七次会议于2017年11月30日修订公布，自</w:t>
      </w:r>
      <w:r>
        <w:rPr>
          <w:rFonts w:ascii="宋体" w:hAnsi="宋体"/>
          <w:color w:val="auto"/>
          <w:sz w:val="24"/>
        </w:rPr>
        <w:t>2014</w:t>
      </w:r>
      <w:r>
        <w:rPr>
          <w:rFonts w:hint="eastAsia" w:ascii="宋体" w:hAnsi="宋体"/>
          <w:color w:val="auto"/>
          <w:sz w:val="24"/>
        </w:rPr>
        <w:t>年</w:t>
      </w:r>
      <w:r>
        <w:rPr>
          <w:rFonts w:ascii="宋体" w:hAnsi="宋体"/>
          <w:color w:val="auto"/>
          <w:sz w:val="24"/>
        </w:rPr>
        <w:t>1</w:t>
      </w:r>
      <w:r>
        <w:rPr>
          <w:rFonts w:hint="eastAsia" w:ascii="宋体" w:hAnsi="宋体"/>
          <w:color w:val="auto"/>
          <w:sz w:val="24"/>
        </w:rPr>
        <w:t>月</w:t>
      </w:r>
      <w:r>
        <w:rPr>
          <w:rFonts w:ascii="宋体" w:hAnsi="宋体"/>
          <w:color w:val="auto"/>
          <w:sz w:val="24"/>
        </w:rPr>
        <w:t>1</w:t>
      </w:r>
      <w:r>
        <w:rPr>
          <w:rFonts w:hint="eastAsia" w:ascii="宋体" w:hAnsi="宋体"/>
          <w:color w:val="auto"/>
          <w:sz w:val="24"/>
        </w:rPr>
        <w:t>日起施行）；</w:t>
      </w:r>
    </w:p>
    <w:p>
      <w:pPr>
        <w:widowControl/>
        <w:numPr>
          <w:ilvl w:val="0"/>
          <w:numId w:val="4"/>
        </w:numPr>
        <w:tabs>
          <w:tab w:val="left" w:pos="284"/>
          <w:tab w:val="left" w:pos="567"/>
        </w:tabs>
        <w:spacing w:line="500" w:lineRule="exact"/>
        <w:ind w:firstLine="480" w:firstLineChars="200"/>
        <w:rPr>
          <w:rFonts w:ascii="宋体" w:hAnsi="宋体"/>
          <w:color w:val="auto"/>
          <w:sz w:val="24"/>
        </w:rPr>
      </w:pPr>
      <w:r>
        <w:rPr>
          <w:rFonts w:hint="eastAsia" w:ascii="宋体" w:hAnsi="宋体"/>
          <w:color w:val="auto"/>
          <w:sz w:val="24"/>
        </w:rPr>
        <w:t>《广东省安全生产责任保险实施办法》（2020年3月19日广东省人民政府第91次常务会议通过，自2020年7月1日起施行）。</w:t>
      </w:r>
    </w:p>
    <w:p>
      <w:pPr>
        <w:widowControl/>
        <w:tabs>
          <w:tab w:val="left" w:pos="284"/>
          <w:tab w:val="left" w:pos="567"/>
        </w:tabs>
        <w:spacing w:line="500" w:lineRule="exact"/>
        <w:ind w:firstLine="482" w:firstLineChars="200"/>
        <w:rPr>
          <w:rFonts w:ascii="宋体" w:hAnsi="宋体"/>
          <w:b/>
          <w:color w:val="auto"/>
          <w:sz w:val="24"/>
        </w:rPr>
      </w:pPr>
      <w:bookmarkStart w:id="79" w:name="_Toc277662729"/>
      <w:r>
        <w:rPr>
          <w:rFonts w:hint="eastAsia" w:ascii="宋体" w:hAnsi="宋体"/>
          <w:b/>
          <w:color w:val="auto"/>
          <w:sz w:val="24"/>
        </w:rPr>
        <w:t>（5）</w:t>
      </w:r>
      <w:bookmarkEnd w:id="77"/>
      <w:bookmarkEnd w:id="78"/>
      <w:bookmarkEnd w:id="79"/>
      <w:r>
        <w:rPr>
          <w:rFonts w:ascii="宋体" w:hAnsi="宋体"/>
          <w:b/>
          <w:color w:val="auto"/>
          <w:sz w:val="24"/>
        </w:rPr>
        <w:fldChar w:fldCharType="begin"/>
      </w:r>
      <w:r>
        <w:rPr>
          <w:rFonts w:ascii="宋体" w:hAnsi="宋体"/>
          <w:b/>
          <w:color w:val="auto"/>
          <w:sz w:val="24"/>
        </w:rPr>
        <w:instrText xml:space="preserve"> HYPERLINK "http://baike.baidu.com/view/1746743.htm" \t "_blank" </w:instrText>
      </w:r>
      <w:r>
        <w:rPr>
          <w:rFonts w:ascii="宋体" w:hAnsi="宋体"/>
          <w:b/>
          <w:color w:val="auto"/>
          <w:sz w:val="24"/>
        </w:rPr>
        <w:fldChar w:fldCharType="separate"/>
      </w:r>
      <w:r>
        <w:rPr>
          <w:rFonts w:ascii="宋体" w:hAnsi="宋体"/>
          <w:b/>
          <w:color w:val="auto"/>
          <w:sz w:val="24"/>
        </w:rPr>
        <w:t>规范性文件</w:t>
      </w:r>
      <w:r>
        <w:rPr>
          <w:rFonts w:ascii="宋体" w:hAnsi="宋体"/>
          <w:b/>
          <w:color w:val="auto"/>
          <w:sz w:val="24"/>
        </w:rPr>
        <w:fldChar w:fldCharType="end"/>
      </w:r>
    </w:p>
    <w:p>
      <w:pPr>
        <w:widowControl/>
        <w:numPr>
          <w:ilvl w:val="0"/>
          <w:numId w:val="5"/>
        </w:numPr>
        <w:tabs>
          <w:tab w:val="left" w:pos="284"/>
          <w:tab w:val="left" w:pos="567"/>
        </w:tabs>
        <w:spacing w:line="500" w:lineRule="exact"/>
        <w:ind w:firstLine="480" w:firstLineChars="200"/>
        <w:rPr>
          <w:rFonts w:ascii="宋体" w:hAnsi="宋体"/>
          <w:color w:val="auto"/>
          <w:sz w:val="24"/>
        </w:rPr>
      </w:pPr>
      <w:bookmarkStart w:id="80" w:name="_Toc301171591"/>
      <w:bookmarkStart w:id="81" w:name="_Toc290307398"/>
      <w:bookmarkStart w:id="82" w:name="_Toc213727789"/>
      <w:bookmarkStart w:id="83" w:name="_Toc233881318"/>
      <w:bookmarkStart w:id="84" w:name="_Toc238813763"/>
      <w:bookmarkStart w:id="85" w:name="_Toc335328917"/>
      <w:r>
        <w:rPr>
          <w:rFonts w:hint="eastAsia" w:ascii="宋体" w:hAnsi="宋体"/>
          <w:color w:val="auto"/>
          <w:sz w:val="24"/>
        </w:rPr>
        <w:t>《关于调整广东省矿山救援服务区域范围的通知》（2012年3月13日，粤安监〔2012〕49号）；</w:t>
      </w:r>
    </w:p>
    <w:p>
      <w:pPr>
        <w:widowControl/>
        <w:numPr>
          <w:ilvl w:val="0"/>
          <w:numId w:val="5"/>
        </w:numPr>
        <w:tabs>
          <w:tab w:val="left" w:pos="284"/>
          <w:tab w:val="left" w:pos="567"/>
        </w:tabs>
        <w:spacing w:line="500" w:lineRule="exact"/>
        <w:ind w:firstLine="480" w:firstLineChars="200"/>
        <w:rPr>
          <w:rFonts w:ascii="宋体" w:hAnsi="宋体"/>
          <w:color w:val="auto"/>
          <w:sz w:val="24"/>
        </w:rPr>
      </w:pPr>
      <w:r>
        <w:rPr>
          <w:rFonts w:ascii="宋体" w:hAnsi="宋体"/>
          <w:color w:val="auto"/>
          <w:sz w:val="24"/>
        </w:rPr>
        <w:t>《广东省安全生产监督管理局关于</w:t>
      </w:r>
      <w:r>
        <w:rPr>
          <w:rFonts w:hint="eastAsia" w:ascii="宋体" w:hAnsi="宋体"/>
          <w:color w:val="auto"/>
          <w:sz w:val="24"/>
        </w:rPr>
        <w:t>&lt;</w:t>
      </w:r>
      <w:r>
        <w:rPr>
          <w:rFonts w:ascii="宋体" w:hAnsi="宋体"/>
          <w:color w:val="auto"/>
          <w:sz w:val="24"/>
        </w:rPr>
        <w:t>非煤矿矿山企业安全生产许可证实施办法</w:t>
      </w:r>
      <w:r>
        <w:rPr>
          <w:rFonts w:hint="eastAsia" w:ascii="宋体" w:hAnsi="宋体"/>
          <w:color w:val="auto"/>
          <w:sz w:val="24"/>
        </w:rPr>
        <w:t>&gt;</w:t>
      </w:r>
      <w:r>
        <w:rPr>
          <w:rFonts w:ascii="宋体" w:hAnsi="宋体"/>
          <w:color w:val="auto"/>
          <w:sz w:val="24"/>
        </w:rPr>
        <w:t>的实施细则》（201</w:t>
      </w:r>
      <w:r>
        <w:rPr>
          <w:rFonts w:hint="eastAsia" w:ascii="宋体" w:hAnsi="宋体"/>
          <w:color w:val="auto"/>
          <w:sz w:val="24"/>
        </w:rPr>
        <w:t>3</w:t>
      </w:r>
      <w:r>
        <w:rPr>
          <w:rFonts w:ascii="宋体" w:hAnsi="宋体"/>
          <w:color w:val="auto"/>
          <w:sz w:val="24"/>
        </w:rPr>
        <w:t>年3月</w:t>
      </w:r>
      <w:r>
        <w:rPr>
          <w:rFonts w:hint="eastAsia" w:ascii="宋体" w:hAnsi="宋体"/>
          <w:color w:val="auto"/>
          <w:sz w:val="24"/>
        </w:rPr>
        <w:t>25</w:t>
      </w:r>
      <w:r>
        <w:rPr>
          <w:rFonts w:ascii="宋体" w:hAnsi="宋体"/>
          <w:color w:val="auto"/>
          <w:sz w:val="24"/>
        </w:rPr>
        <w:t>日，粤安监</w:t>
      </w:r>
      <w:r>
        <w:rPr>
          <w:rFonts w:hint="eastAsia" w:ascii="宋体" w:hAnsi="宋体"/>
          <w:color w:val="auto"/>
          <w:sz w:val="24"/>
        </w:rPr>
        <w:t>[</w:t>
      </w:r>
      <w:r>
        <w:rPr>
          <w:rFonts w:ascii="宋体" w:hAnsi="宋体"/>
          <w:color w:val="auto"/>
          <w:sz w:val="24"/>
        </w:rPr>
        <w:t>201</w:t>
      </w:r>
      <w:r>
        <w:rPr>
          <w:rFonts w:hint="eastAsia" w:ascii="宋体" w:hAnsi="宋体"/>
          <w:color w:val="auto"/>
          <w:sz w:val="24"/>
        </w:rPr>
        <w:t>3]60</w:t>
      </w:r>
      <w:r>
        <w:rPr>
          <w:rFonts w:ascii="宋体" w:hAnsi="宋体"/>
          <w:color w:val="auto"/>
          <w:sz w:val="24"/>
        </w:rPr>
        <w:t>号）</w:t>
      </w:r>
      <w:r>
        <w:rPr>
          <w:rFonts w:hint="eastAsia" w:ascii="宋体" w:hAnsi="宋体"/>
          <w:color w:val="auto"/>
          <w:sz w:val="24"/>
        </w:rPr>
        <w:t>；</w:t>
      </w:r>
    </w:p>
    <w:p>
      <w:pPr>
        <w:widowControl/>
        <w:numPr>
          <w:ilvl w:val="0"/>
          <w:numId w:val="5"/>
        </w:numPr>
        <w:tabs>
          <w:tab w:val="left" w:pos="284"/>
          <w:tab w:val="left" w:pos="567"/>
        </w:tabs>
        <w:spacing w:line="500" w:lineRule="exact"/>
        <w:ind w:firstLine="480" w:firstLineChars="200"/>
        <w:rPr>
          <w:rFonts w:ascii="宋体" w:hAnsi="宋体"/>
          <w:color w:val="auto"/>
          <w:sz w:val="24"/>
        </w:rPr>
      </w:pPr>
      <w:r>
        <w:rPr>
          <w:rFonts w:hint="eastAsia" w:ascii="宋体" w:hAnsi="宋体"/>
          <w:color w:val="auto"/>
          <w:sz w:val="24"/>
        </w:rPr>
        <w:t>《广东省安全生产监督管理局关于印发&lt;广东省安全生产监督管理局关于〈生产安全事故应急预案管理办法〉的实施细则&gt;的通知》（2017年6月12日，粤安监应急〔2017〕9号）；</w:t>
      </w:r>
    </w:p>
    <w:p>
      <w:pPr>
        <w:widowControl/>
        <w:numPr>
          <w:ilvl w:val="0"/>
          <w:numId w:val="5"/>
        </w:numPr>
        <w:tabs>
          <w:tab w:val="left" w:pos="284"/>
          <w:tab w:val="left" w:pos="567"/>
        </w:tabs>
        <w:spacing w:line="500" w:lineRule="exact"/>
        <w:ind w:firstLine="480" w:firstLineChars="200"/>
        <w:rPr>
          <w:rFonts w:ascii="宋体" w:hAnsi="宋体"/>
          <w:color w:val="auto"/>
          <w:sz w:val="24"/>
        </w:rPr>
      </w:pPr>
      <w:r>
        <w:rPr>
          <w:rFonts w:hint="eastAsia" w:ascii="宋体" w:hAnsi="宋体"/>
          <w:color w:val="auto"/>
          <w:sz w:val="24"/>
        </w:rPr>
        <w:t>《国家安全监管总局关于发布金属非金属矿山禁止使用的设备及工艺目录（第二批）的通知》（</w:t>
      </w:r>
      <w:r>
        <w:rPr>
          <w:rFonts w:ascii="宋体" w:hAnsi="宋体"/>
          <w:color w:val="auto"/>
          <w:sz w:val="24"/>
        </w:rPr>
        <w:t>201</w:t>
      </w:r>
      <w:r>
        <w:rPr>
          <w:rFonts w:hint="eastAsia" w:ascii="宋体" w:hAnsi="宋体"/>
          <w:color w:val="auto"/>
          <w:sz w:val="24"/>
        </w:rPr>
        <w:t>5</w:t>
      </w:r>
      <w:r>
        <w:rPr>
          <w:rFonts w:ascii="宋体" w:hAnsi="宋体"/>
          <w:color w:val="auto"/>
          <w:sz w:val="24"/>
        </w:rPr>
        <w:t>年</w:t>
      </w:r>
      <w:r>
        <w:rPr>
          <w:rFonts w:hint="eastAsia" w:ascii="宋体" w:hAnsi="宋体"/>
          <w:color w:val="auto"/>
          <w:sz w:val="24"/>
        </w:rPr>
        <w:t>2</w:t>
      </w:r>
      <w:r>
        <w:rPr>
          <w:rFonts w:ascii="宋体" w:hAnsi="宋体"/>
          <w:color w:val="auto"/>
          <w:sz w:val="24"/>
        </w:rPr>
        <w:t>月</w:t>
      </w:r>
      <w:r>
        <w:rPr>
          <w:rFonts w:hint="eastAsia" w:ascii="宋体" w:hAnsi="宋体"/>
          <w:color w:val="auto"/>
          <w:sz w:val="24"/>
        </w:rPr>
        <w:t>13</w:t>
      </w:r>
      <w:r>
        <w:rPr>
          <w:rFonts w:ascii="宋体" w:hAnsi="宋体"/>
          <w:color w:val="auto"/>
          <w:sz w:val="24"/>
        </w:rPr>
        <w:t>日，</w:t>
      </w:r>
      <w:r>
        <w:rPr>
          <w:rFonts w:hint="eastAsia" w:ascii="宋体" w:hAnsi="宋体"/>
          <w:color w:val="auto"/>
          <w:sz w:val="24"/>
        </w:rPr>
        <w:t>安监总管一〔2015〕13号）；</w:t>
      </w:r>
    </w:p>
    <w:p>
      <w:pPr>
        <w:widowControl/>
        <w:numPr>
          <w:ilvl w:val="0"/>
          <w:numId w:val="5"/>
        </w:numPr>
        <w:tabs>
          <w:tab w:val="left" w:pos="284"/>
          <w:tab w:val="left" w:pos="567"/>
        </w:tabs>
        <w:spacing w:line="500" w:lineRule="exact"/>
        <w:ind w:firstLine="480" w:firstLineChars="200"/>
        <w:rPr>
          <w:rFonts w:ascii="宋体" w:hAnsi="宋体"/>
          <w:color w:val="auto"/>
          <w:sz w:val="24"/>
        </w:rPr>
      </w:pPr>
      <w:r>
        <w:rPr>
          <w:rFonts w:hint="eastAsia" w:ascii="宋体" w:hAnsi="宋体"/>
          <w:color w:val="auto"/>
          <w:sz w:val="24"/>
        </w:rPr>
        <w:t>《国家安全监管总局关于印发金属非金属矿山建设项目安全评价报告编写提纲的通知》（2016年5月30日，安监总管一[2016]49号）；</w:t>
      </w:r>
    </w:p>
    <w:p>
      <w:pPr>
        <w:widowControl/>
        <w:numPr>
          <w:ilvl w:val="0"/>
          <w:numId w:val="5"/>
        </w:numPr>
        <w:tabs>
          <w:tab w:val="left" w:pos="284"/>
          <w:tab w:val="left" w:pos="567"/>
        </w:tabs>
        <w:spacing w:line="500" w:lineRule="exact"/>
        <w:ind w:firstLine="480" w:firstLineChars="200"/>
        <w:rPr>
          <w:rFonts w:ascii="宋体" w:hAnsi="宋体"/>
          <w:color w:val="auto"/>
          <w:sz w:val="24"/>
        </w:rPr>
      </w:pPr>
      <w:r>
        <w:rPr>
          <w:rFonts w:hint="eastAsia" w:ascii="宋体" w:hAnsi="宋体"/>
          <w:color w:val="auto"/>
          <w:sz w:val="24"/>
        </w:rPr>
        <w:t>《中共中央国务院&lt;关于推进安全生产领域改革发展的意见&gt;》（2016年12月9日印发）；</w:t>
      </w:r>
    </w:p>
    <w:p>
      <w:pPr>
        <w:widowControl/>
        <w:numPr>
          <w:ilvl w:val="0"/>
          <w:numId w:val="5"/>
        </w:numPr>
        <w:tabs>
          <w:tab w:val="left" w:pos="284"/>
          <w:tab w:val="left" w:pos="567"/>
        </w:tabs>
        <w:spacing w:line="500" w:lineRule="exact"/>
        <w:ind w:firstLine="480" w:firstLineChars="200"/>
        <w:rPr>
          <w:rFonts w:ascii="宋体" w:hAnsi="宋体"/>
          <w:color w:val="auto"/>
          <w:sz w:val="24"/>
        </w:rPr>
      </w:pPr>
      <w:r>
        <w:rPr>
          <w:rFonts w:hint="eastAsia" w:ascii="宋体" w:hAnsi="宋体"/>
          <w:color w:val="auto"/>
          <w:sz w:val="24"/>
        </w:rPr>
        <w:t>关于印发《广东省安全生产监督管理局关于金属非金属矿山和尾矿库建设项目安全设施“三同时”监督管理实施办法》的通知（2016年10月8日，粤安监〔2016〕146号）；</w:t>
      </w:r>
    </w:p>
    <w:p>
      <w:pPr>
        <w:widowControl/>
        <w:numPr>
          <w:ilvl w:val="0"/>
          <w:numId w:val="5"/>
        </w:numPr>
        <w:tabs>
          <w:tab w:val="left" w:pos="284"/>
          <w:tab w:val="left" w:pos="567"/>
        </w:tabs>
        <w:spacing w:line="500" w:lineRule="exact"/>
        <w:ind w:firstLine="480" w:firstLineChars="200"/>
        <w:rPr>
          <w:rFonts w:ascii="宋体" w:hAnsi="宋体"/>
          <w:color w:val="auto"/>
          <w:sz w:val="24"/>
        </w:rPr>
      </w:pPr>
      <w:r>
        <w:rPr>
          <w:rFonts w:hint="eastAsia" w:ascii="宋体" w:hAnsi="宋体"/>
          <w:color w:val="auto"/>
          <w:sz w:val="24"/>
        </w:rPr>
        <w:t>《广东省委 广东省人民政府&lt;关于推进安全生产领域改革发展的实施意见&gt;》（2017年9月7日）；</w:t>
      </w:r>
    </w:p>
    <w:p>
      <w:pPr>
        <w:widowControl/>
        <w:numPr>
          <w:ilvl w:val="0"/>
          <w:numId w:val="5"/>
        </w:numPr>
        <w:tabs>
          <w:tab w:val="left" w:pos="284"/>
          <w:tab w:val="left" w:pos="567"/>
        </w:tabs>
        <w:spacing w:line="500" w:lineRule="exact"/>
        <w:ind w:firstLine="480" w:firstLineChars="200"/>
        <w:rPr>
          <w:rFonts w:ascii="宋体" w:hAnsi="宋体"/>
          <w:color w:val="auto"/>
          <w:sz w:val="24"/>
        </w:rPr>
      </w:pPr>
      <w:r>
        <w:rPr>
          <w:rFonts w:hint="eastAsia" w:ascii="宋体" w:hAnsi="宋体"/>
          <w:color w:val="auto"/>
          <w:sz w:val="24"/>
        </w:rPr>
        <w:t>《广东省应急管理厅关于印发&lt;广东省应急管理厅关于安全风险分级管控办法（试行）&gt;的通知》（2019年1月23日，粤应急规〔2019〕1号）；</w:t>
      </w:r>
    </w:p>
    <w:p>
      <w:pPr>
        <w:widowControl/>
        <w:numPr>
          <w:ilvl w:val="0"/>
          <w:numId w:val="5"/>
        </w:numPr>
        <w:tabs>
          <w:tab w:val="left" w:pos="284"/>
          <w:tab w:val="left" w:pos="567"/>
        </w:tabs>
        <w:spacing w:line="500" w:lineRule="exact"/>
        <w:ind w:firstLine="480" w:firstLineChars="200"/>
        <w:rPr>
          <w:rFonts w:ascii="宋体" w:hAnsi="宋体"/>
          <w:color w:val="auto"/>
          <w:sz w:val="24"/>
        </w:rPr>
      </w:pPr>
      <w:r>
        <w:rPr>
          <w:rFonts w:hint="eastAsia" w:ascii="宋体" w:hAnsi="宋体"/>
          <w:color w:val="auto"/>
          <w:sz w:val="24"/>
        </w:rPr>
        <w:t>《广东省安委办 广东省应急管理厅关于印发&lt;广东省生产经营单位安全生产“一线三排”工作指引&gt;的通知》（2020年8月4日，粤安办[2020]107号）；</w:t>
      </w:r>
    </w:p>
    <w:p>
      <w:pPr>
        <w:widowControl/>
        <w:numPr>
          <w:ilvl w:val="0"/>
          <w:numId w:val="5"/>
        </w:numPr>
        <w:tabs>
          <w:tab w:val="left" w:pos="284"/>
          <w:tab w:val="left" w:pos="567"/>
        </w:tabs>
        <w:spacing w:line="500" w:lineRule="exact"/>
        <w:ind w:firstLine="480" w:firstLineChars="200"/>
        <w:rPr>
          <w:rFonts w:ascii="宋体" w:hAnsi="宋体"/>
          <w:color w:val="auto"/>
          <w:sz w:val="24"/>
        </w:rPr>
      </w:pPr>
      <w:r>
        <w:rPr>
          <w:rFonts w:hint="eastAsia" w:ascii="宋体" w:hAnsi="宋体"/>
          <w:color w:val="auto"/>
          <w:sz w:val="24"/>
        </w:rPr>
        <w:t>《广东省应急管理厅转发国家矿山安全监察局&lt;关于加强非煤矿山安全生产工作的指导意见&gt;的通知》（粤应急函〔2022〕108号，2022年3月10日转发）；</w:t>
      </w:r>
    </w:p>
    <w:p>
      <w:pPr>
        <w:pStyle w:val="122"/>
        <w:numPr>
          <w:ilvl w:val="0"/>
          <w:numId w:val="5"/>
        </w:numPr>
        <w:topLinePunct/>
        <w:spacing w:line="560" w:lineRule="exact"/>
        <w:ind w:firstLineChars="0"/>
        <w:jc w:val="both"/>
        <w:rPr>
          <w:rFonts w:ascii="宋体" w:hAnsi="宋体"/>
          <w:color w:val="auto"/>
          <w:szCs w:val="28"/>
        </w:rPr>
      </w:pPr>
      <w:r>
        <w:rPr>
          <w:rFonts w:hint="eastAsia" w:ascii="宋体" w:hAnsi="宋体"/>
          <w:color w:val="auto"/>
          <w:szCs w:val="28"/>
        </w:rPr>
        <w:t>《危险化学品目录（2015版）》（国家安全生产监督管理局 国家煤矿安全监察局等10部门公告2015年第5号，根据中华人民共和国应急管理部、中华人民共和国工业和信息化部等10部门公告2022年第8号调整）；</w:t>
      </w:r>
    </w:p>
    <w:p>
      <w:pPr>
        <w:pStyle w:val="122"/>
        <w:numPr>
          <w:ilvl w:val="0"/>
          <w:numId w:val="5"/>
        </w:numPr>
        <w:topLinePunct/>
        <w:spacing w:line="560" w:lineRule="exact"/>
        <w:ind w:firstLineChars="0"/>
        <w:jc w:val="both"/>
        <w:rPr>
          <w:rFonts w:ascii="宋体" w:hAnsi="宋体"/>
          <w:color w:val="auto"/>
          <w:szCs w:val="28"/>
        </w:rPr>
      </w:pPr>
      <w:r>
        <w:rPr>
          <w:rFonts w:hint="eastAsia" w:ascii="宋体" w:hAnsi="宋体"/>
          <w:color w:val="auto"/>
          <w:szCs w:val="28"/>
        </w:rPr>
        <w:t>《应急管理部办公厅关于修改&lt;危险化学品目录（2015版）实施指南（试行）&gt;涉及柴油部分内容的通知》（应急厅函〔2022〕300号）；</w:t>
      </w:r>
    </w:p>
    <w:p>
      <w:pPr>
        <w:pStyle w:val="122"/>
        <w:numPr>
          <w:ilvl w:val="0"/>
          <w:numId w:val="5"/>
        </w:numPr>
        <w:topLinePunct/>
        <w:spacing w:line="560" w:lineRule="exact"/>
        <w:ind w:firstLineChars="0"/>
        <w:jc w:val="both"/>
        <w:rPr>
          <w:rFonts w:ascii="宋体" w:hAnsi="宋体"/>
          <w:color w:val="auto"/>
          <w:szCs w:val="28"/>
        </w:rPr>
      </w:pPr>
      <w:r>
        <w:rPr>
          <w:rFonts w:hint="eastAsia" w:ascii="宋体" w:hAnsi="宋体"/>
          <w:color w:val="auto"/>
          <w:szCs w:val="28"/>
        </w:rPr>
        <w:t>《国家安全监管总局 保监会 财政部关于印发&lt;安全生产责任保险实施办法&gt;的通知》（安监总办〔2017〕140号)。</w:t>
      </w:r>
    </w:p>
    <w:p>
      <w:pPr>
        <w:pStyle w:val="5"/>
        <w:keepLines w:val="0"/>
        <w:widowControl/>
        <w:spacing w:before="120" w:after="120" w:line="500" w:lineRule="exact"/>
        <w:rPr>
          <w:rFonts w:ascii="宋体" w:hAnsi="宋体"/>
          <w:color w:val="auto"/>
          <w:kern w:val="28"/>
          <w:sz w:val="28"/>
          <w:szCs w:val="28"/>
        </w:rPr>
      </w:pPr>
      <w:r>
        <w:rPr>
          <w:rFonts w:hint="eastAsia" w:ascii="宋体" w:hAnsi="宋体"/>
          <w:color w:val="auto"/>
          <w:kern w:val="28"/>
          <w:sz w:val="28"/>
          <w:szCs w:val="28"/>
        </w:rPr>
        <w:t>1.2.2</w:t>
      </w:r>
      <w:bookmarkEnd w:id="80"/>
      <w:bookmarkEnd w:id="81"/>
      <w:bookmarkEnd w:id="82"/>
      <w:bookmarkEnd w:id="83"/>
      <w:bookmarkEnd w:id="84"/>
      <w:r>
        <w:rPr>
          <w:rFonts w:hint="eastAsia" w:ascii="宋体" w:hAnsi="宋体"/>
          <w:color w:val="auto"/>
          <w:kern w:val="28"/>
          <w:sz w:val="28"/>
          <w:szCs w:val="28"/>
        </w:rPr>
        <w:t>标准规范</w:t>
      </w:r>
      <w:bookmarkEnd w:id="85"/>
    </w:p>
    <w:p>
      <w:pPr>
        <w:widowControl/>
        <w:spacing w:line="500" w:lineRule="exact"/>
        <w:ind w:firstLine="482" w:firstLineChars="200"/>
        <w:rPr>
          <w:rFonts w:ascii="宋体" w:hAnsi="宋体"/>
          <w:b/>
          <w:color w:val="auto"/>
          <w:sz w:val="24"/>
        </w:rPr>
      </w:pPr>
      <w:r>
        <w:rPr>
          <w:rFonts w:hint="eastAsia" w:ascii="宋体" w:hAnsi="宋体"/>
          <w:b/>
          <w:color w:val="auto"/>
          <w:sz w:val="24"/>
        </w:rPr>
        <w:t>（1）国标（GB）</w:t>
      </w:r>
    </w:p>
    <w:p>
      <w:pPr>
        <w:widowControl/>
        <w:numPr>
          <w:ilvl w:val="0"/>
          <w:numId w:val="6"/>
        </w:numPr>
        <w:tabs>
          <w:tab w:val="left" w:pos="284"/>
          <w:tab w:val="left" w:pos="567"/>
        </w:tabs>
        <w:spacing w:line="500" w:lineRule="exact"/>
        <w:ind w:firstLine="480" w:firstLineChars="200"/>
        <w:rPr>
          <w:rFonts w:ascii="宋体" w:hAnsi="宋体"/>
          <w:color w:val="auto"/>
          <w:sz w:val="24"/>
        </w:rPr>
      </w:pPr>
      <w:r>
        <w:rPr>
          <w:rFonts w:ascii="宋体" w:hAnsi="宋体"/>
          <w:color w:val="auto"/>
          <w:sz w:val="24"/>
        </w:rPr>
        <w:t>《企业职工伤亡事故分类》</w:t>
      </w:r>
      <w:r>
        <w:rPr>
          <w:rFonts w:hint="eastAsia" w:ascii="宋体" w:hAnsi="宋体"/>
          <w:color w:val="auto"/>
          <w:sz w:val="24"/>
        </w:rPr>
        <w:t>（</w:t>
      </w:r>
      <w:r>
        <w:rPr>
          <w:rFonts w:ascii="宋体" w:hAnsi="宋体"/>
          <w:color w:val="auto"/>
          <w:sz w:val="24"/>
        </w:rPr>
        <w:t>GB6441-1986</w:t>
      </w:r>
      <w:r>
        <w:rPr>
          <w:rFonts w:hint="eastAsia" w:ascii="宋体" w:hAnsi="宋体"/>
          <w:color w:val="auto"/>
          <w:sz w:val="24"/>
        </w:rPr>
        <w:t>，</w:t>
      </w:r>
      <w:r>
        <w:rPr>
          <w:rFonts w:ascii="宋体" w:hAnsi="宋体"/>
          <w:color w:val="auto"/>
          <w:sz w:val="24"/>
        </w:rPr>
        <w:t>国家标准局1986年5月31日发布</w:t>
      </w:r>
      <w:r>
        <w:rPr>
          <w:rFonts w:hint="eastAsia" w:ascii="宋体" w:hAnsi="宋体"/>
          <w:color w:val="auto"/>
          <w:sz w:val="24"/>
        </w:rPr>
        <w:t>，</w:t>
      </w:r>
      <w:r>
        <w:rPr>
          <w:rFonts w:ascii="宋体" w:hAnsi="宋体"/>
          <w:color w:val="auto"/>
          <w:sz w:val="24"/>
        </w:rPr>
        <w:t>1987年2月1日起实施</w:t>
      </w:r>
      <w:r>
        <w:rPr>
          <w:rFonts w:hint="eastAsia" w:ascii="宋体" w:hAnsi="宋体"/>
          <w:color w:val="auto"/>
          <w:sz w:val="24"/>
        </w:rPr>
        <w:t>）；</w:t>
      </w:r>
    </w:p>
    <w:p>
      <w:pPr>
        <w:widowControl/>
        <w:numPr>
          <w:ilvl w:val="0"/>
          <w:numId w:val="6"/>
        </w:numPr>
        <w:tabs>
          <w:tab w:val="left" w:pos="284"/>
          <w:tab w:val="left" w:pos="567"/>
        </w:tabs>
        <w:spacing w:line="500" w:lineRule="exact"/>
        <w:ind w:firstLine="480" w:firstLineChars="200"/>
        <w:rPr>
          <w:rFonts w:ascii="宋体" w:hAnsi="宋体"/>
          <w:color w:val="auto"/>
          <w:sz w:val="24"/>
        </w:rPr>
      </w:pPr>
      <w:r>
        <w:rPr>
          <w:rFonts w:ascii="宋体" w:hAnsi="宋体"/>
          <w:color w:val="auto"/>
          <w:sz w:val="24"/>
        </w:rPr>
        <w:t>《建筑灭火器配置设计规范》</w:t>
      </w:r>
      <w:r>
        <w:rPr>
          <w:rFonts w:hint="eastAsia" w:ascii="宋体" w:hAnsi="宋体"/>
          <w:color w:val="auto"/>
          <w:sz w:val="24"/>
        </w:rPr>
        <w:t>（</w:t>
      </w:r>
      <w:r>
        <w:rPr>
          <w:rFonts w:ascii="宋体" w:hAnsi="宋体"/>
          <w:color w:val="auto"/>
          <w:sz w:val="24"/>
        </w:rPr>
        <w:t>GB</w:t>
      </w:r>
      <w:r>
        <w:rPr>
          <w:rFonts w:hint="eastAsia" w:ascii="宋体" w:hAnsi="宋体"/>
          <w:color w:val="auto"/>
          <w:sz w:val="24"/>
        </w:rPr>
        <w:t>50</w:t>
      </w:r>
      <w:r>
        <w:rPr>
          <w:rFonts w:ascii="宋体" w:hAnsi="宋体"/>
          <w:color w:val="auto"/>
          <w:sz w:val="24"/>
        </w:rPr>
        <w:t>140-</w:t>
      </w:r>
      <w:r>
        <w:rPr>
          <w:rFonts w:hint="eastAsia" w:ascii="宋体" w:hAnsi="宋体"/>
          <w:color w:val="auto"/>
          <w:sz w:val="24"/>
        </w:rPr>
        <w:t>2005，中华人民共和国建设部，国家质量监督检验检疫总局</w:t>
      </w:r>
      <w:r>
        <w:rPr>
          <w:rFonts w:ascii="宋体" w:hAnsi="宋体"/>
          <w:color w:val="auto"/>
          <w:sz w:val="24"/>
        </w:rPr>
        <w:t>2005</w:t>
      </w:r>
      <w:r>
        <w:rPr>
          <w:rFonts w:hint="eastAsia" w:ascii="宋体" w:hAnsi="宋体"/>
          <w:color w:val="auto"/>
          <w:sz w:val="24"/>
        </w:rPr>
        <w:t>年</w:t>
      </w:r>
      <w:r>
        <w:rPr>
          <w:rFonts w:ascii="宋体" w:hAnsi="宋体"/>
          <w:color w:val="auto"/>
          <w:sz w:val="24"/>
        </w:rPr>
        <w:t>7</w:t>
      </w:r>
      <w:r>
        <w:rPr>
          <w:rFonts w:hint="eastAsia" w:ascii="宋体" w:hAnsi="宋体"/>
          <w:color w:val="auto"/>
          <w:sz w:val="24"/>
        </w:rPr>
        <w:t>月</w:t>
      </w:r>
      <w:r>
        <w:rPr>
          <w:rFonts w:ascii="宋体" w:hAnsi="宋体"/>
          <w:color w:val="auto"/>
          <w:sz w:val="24"/>
        </w:rPr>
        <w:t>15</w:t>
      </w:r>
      <w:r>
        <w:rPr>
          <w:rFonts w:hint="eastAsia" w:ascii="宋体" w:hAnsi="宋体"/>
          <w:color w:val="auto"/>
          <w:sz w:val="24"/>
        </w:rPr>
        <w:t>日发布，</w:t>
      </w:r>
      <w:r>
        <w:rPr>
          <w:rFonts w:ascii="宋体" w:hAnsi="宋体"/>
          <w:color w:val="auto"/>
          <w:sz w:val="24"/>
        </w:rPr>
        <w:t>2005</w:t>
      </w:r>
      <w:r>
        <w:rPr>
          <w:rFonts w:hint="eastAsia" w:ascii="宋体" w:hAnsi="宋体"/>
          <w:color w:val="auto"/>
          <w:sz w:val="24"/>
        </w:rPr>
        <w:t>年</w:t>
      </w:r>
      <w:r>
        <w:rPr>
          <w:rFonts w:ascii="宋体" w:hAnsi="宋体"/>
          <w:color w:val="auto"/>
          <w:sz w:val="24"/>
        </w:rPr>
        <w:t>10</w:t>
      </w:r>
      <w:r>
        <w:rPr>
          <w:rFonts w:hint="eastAsia" w:ascii="宋体" w:hAnsi="宋体"/>
          <w:color w:val="auto"/>
          <w:sz w:val="24"/>
        </w:rPr>
        <w:t>月</w:t>
      </w:r>
      <w:r>
        <w:rPr>
          <w:rFonts w:ascii="宋体" w:hAnsi="宋体"/>
          <w:color w:val="auto"/>
          <w:sz w:val="24"/>
        </w:rPr>
        <w:t>1</w:t>
      </w:r>
      <w:r>
        <w:rPr>
          <w:rFonts w:hint="eastAsia" w:ascii="宋体" w:hAnsi="宋体"/>
          <w:color w:val="auto"/>
          <w:sz w:val="24"/>
        </w:rPr>
        <w:t>日实施）；</w:t>
      </w:r>
    </w:p>
    <w:p>
      <w:pPr>
        <w:widowControl/>
        <w:numPr>
          <w:ilvl w:val="0"/>
          <w:numId w:val="6"/>
        </w:numPr>
        <w:tabs>
          <w:tab w:val="left" w:pos="284"/>
          <w:tab w:val="left" w:pos="567"/>
        </w:tabs>
        <w:spacing w:line="500" w:lineRule="exact"/>
        <w:ind w:firstLine="480" w:firstLineChars="200"/>
        <w:rPr>
          <w:rFonts w:ascii="宋体" w:hAnsi="宋体"/>
          <w:color w:val="auto"/>
          <w:sz w:val="24"/>
        </w:rPr>
      </w:pPr>
      <w:r>
        <w:rPr>
          <w:rFonts w:ascii="宋体" w:hAnsi="宋体"/>
          <w:color w:val="auto"/>
          <w:sz w:val="24"/>
        </w:rPr>
        <w:t>《矿山安全标志》（</w:t>
      </w:r>
      <w:r>
        <w:rPr>
          <w:rFonts w:hint="eastAsia" w:ascii="宋体" w:hAnsi="宋体"/>
          <w:color w:val="auto"/>
          <w:sz w:val="24"/>
        </w:rPr>
        <w:t>GB14161-2008</w:t>
      </w:r>
      <w:r>
        <w:rPr>
          <w:rFonts w:ascii="宋体" w:hAnsi="宋体"/>
          <w:color w:val="auto"/>
          <w:sz w:val="24"/>
        </w:rPr>
        <w:t>，国家质量监督检验检疫总局、国家标准化管理委员会2008年12月11日发布，2009年10月1日实施）</w:t>
      </w:r>
      <w:r>
        <w:rPr>
          <w:rFonts w:hint="eastAsia" w:ascii="宋体" w:hAnsi="宋体"/>
          <w:color w:val="auto"/>
          <w:sz w:val="24"/>
        </w:rPr>
        <w:t>；</w:t>
      </w:r>
    </w:p>
    <w:p>
      <w:pPr>
        <w:widowControl/>
        <w:numPr>
          <w:ilvl w:val="0"/>
          <w:numId w:val="6"/>
        </w:numPr>
        <w:tabs>
          <w:tab w:val="left" w:pos="284"/>
          <w:tab w:val="left" w:pos="567"/>
        </w:tabs>
        <w:spacing w:line="500" w:lineRule="exact"/>
        <w:ind w:firstLine="480" w:firstLineChars="200"/>
        <w:rPr>
          <w:rFonts w:ascii="宋体" w:hAnsi="宋体"/>
          <w:color w:val="auto"/>
          <w:sz w:val="24"/>
        </w:rPr>
      </w:pPr>
      <w:r>
        <w:rPr>
          <w:rFonts w:hint="eastAsia" w:ascii="宋体" w:hAnsi="宋体"/>
          <w:color w:val="auto"/>
          <w:sz w:val="24"/>
        </w:rPr>
        <w:t>《供配电系统设计规范》（GB50052-2009，中华人民共和国住房和城乡建设部、中华人民共和国国家质量监督检验检疫总局2009年11月11日联合发布，2010年7月1日实施）；</w:t>
      </w:r>
    </w:p>
    <w:p>
      <w:pPr>
        <w:widowControl/>
        <w:numPr>
          <w:ilvl w:val="0"/>
          <w:numId w:val="6"/>
        </w:numPr>
        <w:tabs>
          <w:tab w:val="left" w:pos="284"/>
          <w:tab w:val="left" w:pos="567"/>
        </w:tabs>
        <w:spacing w:line="500" w:lineRule="exact"/>
        <w:ind w:firstLine="480" w:firstLineChars="200"/>
        <w:rPr>
          <w:rFonts w:ascii="宋体" w:hAnsi="宋体"/>
          <w:color w:val="auto"/>
          <w:sz w:val="24"/>
        </w:rPr>
      </w:pPr>
      <w:r>
        <w:rPr>
          <w:rFonts w:ascii="宋体" w:hAnsi="宋体"/>
          <w:color w:val="auto"/>
          <w:sz w:val="24"/>
        </w:rPr>
        <w:t>《建筑物防雷设计规范》</w:t>
      </w:r>
      <w:r>
        <w:rPr>
          <w:rFonts w:hint="eastAsia" w:ascii="宋体" w:hAnsi="宋体"/>
          <w:color w:val="auto"/>
          <w:sz w:val="24"/>
        </w:rPr>
        <w:t>（GB50057-2010，中华人民共和国住房和城乡建设部、中华人民共和国国家质量监督检验检疫总局2010年11月3日联合发布，2011年10月1日实施）；</w:t>
      </w:r>
    </w:p>
    <w:p>
      <w:pPr>
        <w:widowControl/>
        <w:numPr>
          <w:ilvl w:val="0"/>
          <w:numId w:val="6"/>
        </w:numPr>
        <w:tabs>
          <w:tab w:val="left" w:pos="284"/>
          <w:tab w:val="left" w:pos="567"/>
        </w:tabs>
        <w:spacing w:line="500" w:lineRule="exact"/>
        <w:ind w:firstLine="480" w:firstLineChars="200"/>
        <w:rPr>
          <w:rFonts w:ascii="宋体" w:hAnsi="宋体"/>
          <w:color w:val="auto"/>
          <w:sz w:val="24"/>
        </w:rPr>
      </w:pPr>
      <w:r>
        <w:rPr>
          <w:rFonts w:hint="eastAsia" w:ascii="宋体" w:hAnsi="宋体"/>
          <w:color w:val="auto"/>
          <w:sz w:val="24"/>
        </w:rPr>
        <w:t>《交流电气装置的接地设计规范》（GB50065-2011，中华人民共和国住房和城乡建设部、中华人民共和国国家质量监督检验检疫总局2011年12月5日联合发布，2012年6月1日实施）；</w:t>
      </w:r>
    </w:p>
    <w:p>
      <w:pPr>
        <w:widowControl/>
        <w:numPr>
          <w:ilvl w:val="0"/>
          <w:numId w:val="6"/>
        </w:numPr>
        <w:tabs>
          <w:tab w:val="left" w:pos="284"/>
          <w:tab w:val="left" w:pos="567"/>
        </w:tabs>
        <w:spacing w:line="500" w:lineRule="exact"/>
        <w:ind w:firstLine="480" w:firstLineChars="200"/>
        <w:rPr>
          <w:rFonts w:ascii="宋体" w:hAnsi="宋体"/>
          <w:color w:val="auto"/>
          <w:sz w:val="24"/>
        </w:rPr>
      </w:pPr>
      <w:r>
        <w:rPr>
          <w:rFonts w:ascii="宋体" w:hAnsi="宋体"/>
          <w:color w:val="auto"/>
          <w:sz w:val="24"/>
        </w:rPr>
        <w:t>《低压配电设计规范》</w:t>
      </w:r>
      <w:r>
        <w:rPr>
          <w:rFonts w:hint="eastAsia" w:ascii="宋体" w:hAnsi="宋体"/>
          <w:color w:val="auto"/>
          <w:sz w:val="24"/>
        </w:rPr>
        <w:t>（</w:t>
      </w:r>
      <w:r>
        <w:rPr>
          <w:rFonts w:ascii="宋体" w:hAnsi="宋体"/>
          <w:color w:val="auto"/>
          <w:sz w:val="24"/>
        </w:rPr>
        <w:t>GB50054-</w:t>
      </w:r>
      <w:r>
        <w:rPr>
          <w:rFonts w:hint="eastAsia" w:ascii="宋体" w:hAnsi="宋体"/>
          <w:color w:val="auto"/>
          <w:sz w:val="24"/>
        </w:rPr>
        <w:t>2011，2011</w:t>
      </w:r>
      <w:r>
        <w:rPr>
          <w:rFonts w:ascii="宋体" w:hAnsi="宋体"/>
          <w:color w:val="auto"/>
          <w:sz w:val="24"/>
        </w:rPr>
        <w:t>年</w:t>
      </w:r>
      <w:r>
        <w:rPr>
          <w:rFonts w:hint="eastAsia" w:ascii="宋体" w:hAnsi="宋体"/>
          <w:color w:val="auto"/>
          <w:sz w:val="24"/>
        </w:rPr>
        <w:t>7</w:t>
      </w:r>
      <w:r>
        <w:rPr>
          <w:rFonts w:ascii="宋体" w:hAnsi="宋体"/>
          <w:color w:val="auto"/>
          <w:sz w:val="24"/>
        </w:rPr>
        <w:t>月</w:t>
      </w:r>
      <w:r>
        <w:rPr>
          <w:rFonts w:hint="eastAsia" w:ascii="宋体" w:hAnsi="宋体"/>
          <w:color w:val="auto"/>
          <w:sz w:val="24"/>
        </w:rPr>
        <w:t>26</w:t>
      </w:r>
      <w:r>
        <w:rPr>
          <w:rFonts w:ascii="宋体" w:hAnsi="宋体"/>
          <w:color w:val="auto"/>
          <w:sz w:val="24"/>
        </w:rPr>
        <w:t>日由</w:t>
      </w:r>
      <w:r>
        <w:rPr>
          <w:rFonts w:hint="eastAsia" w:ascii="宋体" w:hAnsi="宋体"/>
          <w:color w:val="auto"/>
          <w:sz w:val="24"/>
        </w:rPr>
        <w:t>中华人民共和国住房和城乡建设部发布</w:t>
      </w:r>
      <w:r>
        <w:rPr>
          <w:rFonts w:ascii="宋体" w:hAnsi="宋体"/>
          <w:color w:val="auto"/>
          <w:sz w:val="24"/>
        </w:rPr>
        <w:t>，于</w:t>
      </w:r>
      <w:r>
        <w:rPr>
          <w:rFonts w:hint="eastAsia" w:ascii="宋体" w:hAnsi="宋体"/>
          <w:color w:val="auto"/>
          <w:sz w:val="24"/>
        </w:rPr>
        <w:t>2012</w:t>
      </w:r>
      <w:r>
        <w:rPr>
          <w:rFonts w:ascii="宋体" w:hAnsi="宋体"/>
          <w:color w:val="auto"/>
          <w:sz w:val="24"/>
        </w:rPr>
        <w:t>年</w:t>
      </w:r>
      <w:r>
        <w:rPr>
          <w:rFonts w:hint="eastAsia" w:ascii="宋体" w:hAnsi="宋体"/>
          <w:color w:val="auto"/>
          <w:sz w:val="24"/>
        </w:rPr>
        <w:t>6</w:t>
      </w:r>
      <w:r>
        <w:rPr>
          <w:rFonts w:ascii="宋体" w:hAnsi="宋体"/>
          <w:color w:val="auto"/>
          <w:sz w:val="24"/>
        </w:rPr>
        <w:t>月1日实施</w:t>
      </w:r>
      <w:r>
        <w:rPr>
          <w:rFonts w:hint="eastAsia" w:ascii="宋体" w:hAnsi="宋体"/>
          <w:color w:val="auto"/>
          <w:sz w:val="24"/>
        </w:rPr>
        <w:t>）；</w:t>
      </w:r>
    </w:p>
    <w:p>
      <w:pPr>
        <w:widowControl/>
        <w:numPr>
          <w:ilvl w:val="0"/>
          <w:numId w:val="6"/>
        </w:numPr>
        <w:tabs>
          <w:tab w:val="left" w:pos="284"/>
          <w:tab w:val="left" w:pos="567"/>
        </w:tabs>
        <w:spacing w:line="500" w:lineRule="exact"/>
        <w:ind w:firstLine="480" w:firstLineChars="200"/>
        <w:rPr>
          <w:rFonts w:ascii="宋体" w:hAnsi="宋体"/>
          <w:color w:val="auto"/>
          <w:sz w:val="24"/>
        </w:rPr>
      </w:pPr>
      <w:r>
        <w:rPr>
          <w:rFonts w:ascii="宋体" w:hAnsi="宋体"/>
          <w:color w:val="auto"/>
          <w:sz w:val="24"/>
        </w:rPr>
        <w:t>《工业企业总平面设计规范》</w:t>
      </w:r>
      <w:r>
        <w:rPr>
          <w:rFonts w:hint="eastAsia" w:ascii="宋体" w:hAnsi="宋体"/>
          <w:color w:val="auto"/>
          <w:sz w:val="24"/>
        </w:rPr>
        <w:t>（</w:t>
      </w:r>
      <w:r>
        <w:rPr>
          <w:rFonts w:ascii="宋体" w:hAnsi="宋体"/>
          <w:color w:val="auto"/>
          <w:sz w:val="24"/>
        </w:rPr>
        <w:t>GB50187-</w:t>
      </w:r>
      <w:r>
        <w:rPr>
          <w:rFonts w:hint="eastAsia" w:ascii="宋体" w:hAnsi="宋体"/>
          <w:color w:val="auto"/>
          <w:sz w:val="24"/>
        </w:rPr>
        <w:t>2012，2012年3月30日中华人民共和国住房和城乡建设部发布，2012年8月1日施行）；</w:t>
      </w:r>
    </w:p>
    <w:p>
      <w:pPr>
        <w:widowControl/>
        <w:numPr>
          <w:ilvl w:val="0"/>
          <w:numId w:val="6"/>
        </w:numPr>
        <w:tabs>
          <w:tab w:val="left" w:pos="284"/>
          <w:tab w:val="left" w:pos="567"/>
        </w:tabs>
        <w:spacing w:line="500" w:lineRule="exact"/>
        <w:ind w:firstLine="480" w:firstLineChars="200"/>
        <w:rPr>
          <w:rFonts w:ascii="宋体" w:hAnsi="宋体"/>
          <w:color w:val="auto"/>
          <w:sz w:val="24"/>
        </w:rPr>
      </w:pPr>
      <w:r>
        <w:rPr>
          <w:rFonts w:ascii="宋体" w:hAnsi="宋体"/>
          <w:color w:val="auto"/>
          <w:sz w:val="24"/>
        </w:rPr>
        <w:t>《建筑设计防火规范》</w:t>
      </w:r>
      <w:r>
        <w:rPr>
          <w:rFonts w:hint="eastAsia" w:ascii="宋体" w:hAnsi="宋体"/>
          <w:color w:val="auto"/>
          <w:sz w:val="24"/>
        </w:rPr>
        <w:t>（</w:t>
      </w:r>
      <w:r>
        <w:rPr>
          <w:rFonts w:ascii="宋体" w:hAnsi="宋体"/>
          <w:color w:val="auto"/>
          <w:sz w:val="24"/>
        </w:rPr>
        <w:t>GB50016-20</w:t>
      </w:r>
      <w:r>
        <w:rPr>
          <w:rFonts w:hint="eastAsia" w:ascii="宋体" w:hAnsi="宋体"/>
          <w:color w:val="auto"/>
          <w:sz w:val="24"/>
        </w:rPr>
        <w:t>1</w:t>
      </w:r>
      <w:r>
        <w:rPr>
          <w:rFonts w:ascii="宋体" w:hAnsi="宋体"/>
          <w:color w:val="auto"/>
          <w:sz w:val="24"/>
        </w:rPr>
        <w:t>4</w:t>
      </w:r>
      <w:r>
        <w:rPr>
          <w:rFonts w:hint="eastAsia" w:ascii="宋体" w:hAnsi="宋体"/>
          <w:color w:val="auto"/>
          <w:sz w:val="24"/>
        </w:rPr>
        <w:t>，</w:t>
      </w:r>
      <w:r>
        <w:rPr>
          <w:rFonts w:ascii="宋体" w:hAnsi="宋体"/>
          <w:color w:val="auto"/>
          <w:sz w:val="24"/>
        </w:rPr>
        <w:t>中华人民共和国住房和城乡建设部</w:t>
      </w:r>
      <w:r>
        <w:rPr>
          <w:rFonts w:hint="eastAsia" w:ascii="宋体" w:hAnsi="宋体"/>
          <w:color w:val="auto"/>
          <w:sz w:val="24"/>
        </w:rPr>
        <w:t>，</w:t>
      </w:r>
      <w:r>
        <w:rPr>
          <w:rFonts w:ascii="宋体" w:hAnsi="宋体"/>
          <w:color w:val="auto"/>
          <w:sz w:val="24"/>
        </w:rPr>
        <w:t>20</w:t>
      </w:r>
      <w:r>
        <w:rPr>
          <w:rFonts w:hint="eastAsia" w:ascii="宋体" w:hAnsi="宋体"/>
          <w:color w:val="auto"/>
          <w:sz w:val="24"/>
        </w:rPr>
        <w:t>1</w:t>
      </w:r>
      <w:r>
        <w:rPr>
          <w:rFonts w:ascii="宋体" w:hAnsi="宋体"/>
          <w:color w:val="auto"/>
          <w:sz w:val="24"/>
        </w:rPr>
        <w:t>8年3月30日</w:t>
      </w:r>
      <w:r>
        <w:rPr>
          <w:rFonts w:hint="eastAsia" w:ascii="宋体" w:hAnsi="宋体"/>
          <w:color w:val="auto"/>
          <w:sz w:val="24"/>
        </w:rPr>
        <w:t>修订，</w:t>
      </w:r>
      <w:r>
        <w:rPr>
          <w:rFonts w:ascii="宋体" w:hAnsi="宋体"/>
          <w:color w:val="auto"/>
          <w:sz w:val="24"/>
        </w:rPr>
        <w:t>施行日期20</w:t>
      </w:r>
      <w:r>
        <w:rPr>
          <w:rFonts w:hint="eastAsia" w:ascii="宋体" w:hAnsi="宋体"/>
          <w:color w:val="auto"/>
          <w:sz w:val="24"/>
        </w:rPr>
        <w:t>15</w:t>
      </w:r>
      <w:r>
        <w:rPr>
          <w:rFonts w:ascii="宋体" w:hAnsi="宋体"/>
          <w:color w:val="auto"/>
          <w:sz w:val="24"/>
        </w:rPr>
        <w:t>年</w:t>
      </w:r>
      <w:r>
        <w:rPr>
          <w:rFonts w:hint="eastAsia" w:ascii="宋体" w:hAnsi="宋体"/>
          <w:color w:val="auto"/>
          <w:sz w:val="24"/>
        </w:rPr>
        <w:t>5</w:t>
      </w:r>
      <w:r>
        <w:rPr>
          <w:rFonts w:ascii="宋体" w:hAnsi="宋体"/>
          <w:color w:val="auto"/>
          <w:sz w:val="24"/>
        </w:rPr>
        <w:t>月1日</w:t>
      </w:r>
      <w:r>
        <w:rPr>
          <w:rFonts w:hint="eastAsia" w:ascii="宋体" w:hAnsi="宋体"/>
          <w:color w:val="auto"/>
          <w:sz w:val="24"/>
        </w:rPr>
        <w:t>）；</w:t>
      </w:r>
    </w:p>
    <w:p>
      <w:pPr>
        <w:widowControl/>
        <w:numPr>
          <w:ilvl w:val="0"/>
          <w:numId w:val="6"/>
        </w:numPr>
        <w:tabs>
          <w:tab w:val="left" w:pos="284"/>
          <w:tab w:val="left" w:pos="567"/>
        </w:tabs>
        <w:spacing w:line="500" w:lineRule="exact"/>
        <w:ind w:firstLine="480" w:firstLineChars="200"/>
        <w:rPr>
          <w:rFonts w:ascii="宋体" w:hAnsi="宋体"/>
          <w:color w:val="auto"/>
          <w:sz w:val="24"/>
        </w:rPr>
      </w:pPr>
      <w:r>
        <w:rPr>
          <w:rFonts w:hint="eastAsia" w:ascii="宋体" w:hAnsi="宋体"/>
          <w:color w:val="auto"/>
          <w:sz w:val="24"/>
        </w:rPr>
        <w:t>《防洪标准》（GB50201-2014，中华人民共和国住房和城乡建设部、中华人民共和国国家质量监督检验检疫总局2014年6月23日联合发布，2015年5月</w:t>
      </w:r>
      <w:r>
        <w:rPr>
          <w:rFonts w:ascii="宋体" w:hAnsi="宋体"/>
          <w:color w:val="auto"/>
          <w:sz w:val="24"/>
        </w:rPr>
        <w:t>1</w:t>
      </w:r>
      <w:r>
        <w:rPr>
          <w:rFonts w:hint="eastAsia" w:ascii="宋体" w:hAnsi="宋体"/>
          <w:color w:val="auto"/>
          <w:sz w:val="24"/>
        </w:rPr>
        <w:t>日实施）；</w:t>
      </w:r>
    </w:p>
    <w:p>
      <w:pPr>
        <w:widowControl/>
        <w:numPr>
          <w:ilvl w:val="0"/>
          <w:numId w:val="6"/>
        </w:numPr>
        <w:tabs>
          <w:tab w:val="left" w:pos="284"/>
          <w:tab w:val="left" w:pos="567"/>
        </w:tabs>
        <w:spacing w:line="500" w:lineRule="exact"/>
        <w:ind w:firstLine="480" w:firstLineChars="200"/>
        <w:rPr>
          <w:rFonts w:ascii="宋体" w:hAnsi="宋体"/>
          <w:color w:val="auto"/>
          <w:sz w:val="24"/>
        </w:rPr>
      </w:pPr>
      <w:r>
        <w:rPr>
          <w:rFonts w:hint="eastAsia" w:ascii="宋体" w:hAnsi="宋体"/>
          <w:color w:val="auto"/>
          <w:sz w:val="24"/>
        </w:rPr>
        <w:t>《非煤露天矿边坡工程技术规范》（GB51016-2014，中华人民共和国住房和城乡建设部2014年7月13日发布，2015年5月1日实施）；</w:t>
      </w:r>
    </w:p>
    <w:p>
      <w:pPr>
        <w:widowControl/>
        <w:numPr>
          <w:ilvl w:val="0"/>
          <w:numId w:val="6"/>
        </w:numPr>
        <w:tabs>
          <w:tab w:val="left" w:pos="284"/>
          <w:tab w:val="left" w:pos="567"/>
        </w:tabs>
        <w:spacing w:line="500" w:lineRule="exact"/>
        <w:ind w:firstLine="480" w:firstLineChars="200"/>
        <w:rPr>
          <w:rFonts w:ascii="宋体" w:hAnsi="宋体"/>
          <w:color w:val="auto"/>
          <w:sz w:val="24"/>
        </w:rPr>
      </w:pPr>
      <w:r>
        <w:rPr>
          <w:rFonts w:ascii="宋体" w:hAnsi="宋体"/>
          <w:color w:val="auto"/>
          <w:sz w:val="24"/>
        </w:rPr>
        <w:t>《爆破安全规程》</w:t>
      </w:r>
      <w:r>
        <w:rPr>
          <w:rFonts w:hint="eastAsia" w:ascii="宋体" w:hAnsi="宋体"/>
          <w:color w:val="auto"/>
          <w:sz w:val="24"/>
        </w:rPr>
        <w:t>（</w:t>
      </w:r>
      <w:r>
        <w:rPr>
          <w:rFonts w:ascii="宋体" w:hAnsi="宋体"/>
          <w:color w:val="auto"/>
          <w:sz w:val="24"/>
        </w:rPr>
        <w:t>GB6722-20</w:t>
      </w:r>
      <w:r>
        <w:rPr>
          <w:rFonts w:hint="eastAsia" w:ascii="宋体" w:hAnsi="宋体"/>
          <w:color w:val="auto"/>
          <w:sz w:val="24"/>
        </w:rPr>
        <w:t>14，</w:t>
      </w:r>
      <w:r>
        <w:rPr>
          <w:rFonts w:ascii="宋体" w:hAnsi="宋体"/>
          <w:color w:val="auto"/>
          <w:sz w:val="24"/>
        </w:rPr>
        <w:t>20</w:t>
      </w:r>
      <w:r>
        <w:rPr>
          <w:rFonts w:hint="eastAsia" w:ascii="宋体" w:hAnsi="宋体"/>
          <w:color w:val="auto"/>
          <w:sz w:val="24"/>
        </w:rPr>
        <w:t>14</w:t>
      </w:r>
      <w:r>
        <w:rPr>
          <w:rFonts w:ascii="宋体" w:hAnsi="宋体"/>
          <w:color w:val="auto"/>
          <w:sz w:val="24"/>
        </w:rPr>
        <w:t>年</w:t>
      </w:r>
      <w:r>
        <w:rPr>
          <w:rFonts w:hint="eastAsia" w:ascii="宋体" w:hAnsi="宋体"/>
          <w:color w:val="auto"/>
          <w:sz w:val="24"/>
        </w:rPr>
        <w:t>12</w:t>
      </w:r>
      <w:r>
        <w:rPr>
          <w:rFonts w:ascii="宋体" w:hAnsi="宋体"/>
          <w:color w:val="auto"/>
          <w:sz w:val="24"/>
        </w:rPr>
        <w:t>月</w:t>
      </w:r>
      <w:r>
        <w:rPr>
          <w:rFonts w:hint="eastAsia" w:ascii="宋体" w:hAnsi="宋体"/>
          <w:color w:val="auto"/>
          <w:sz w:val="24"/>
        </w:rPr>
        <w:t>05</w:t>
      </w:r>
      <w:r>
        <w:rPr>
          <w:rFonts w:ascii="宋体" w:hAnsi="宋体"/>
          <w:color w:val="auto"/>
          <w:sz w:val="24"/>
        </w:rPr>
        <w:t>日由国家质量监督检查检疫总局</w:t>
      </w:r>
      <w:r>
        <w:rPr>
          <w:rFonts w:hint="eastAsia" w:ascii="宋体" w:hAnsi="宋体"/>
          <w:color w:val="auto"/>
          <w:sz w:val="24"/>
        </w:rPr>
        <w:t>和中国国家标准化管理委员会</w:t>
      </w:r>
      <w:r>
        <w:rPr>
          <w:rFonts w:ascii="宋体" w:hAnsi="宋体"/>
          <w:color w:val="auto"/>
          <w:sz w:val="24"/>
        </w:rPr>
        <w:t>发布，并于20</w:t>
      </w:r>
      <w:r>
        <w:rPr>
          <w:rFonts w:hint="eastAsia" w:ascii="宋体" w:hAnsi="宋体"/>
          <w:color w:val="auto"/>
          <w:sz w:val="24"/>
        </w:rPr>
        <w:t>15</w:t>
      </w:r>
      <w:r>
        <w:rPr>
          <w:rFonts w:ascii="宋体" w:hAnsi="宋体"/>
          <w:color w:val="auto"/>
          <w:sz w:val="24"/>
        </w:rPr>
        <w:t>年</w:t>
      </w:r>
      <w:r>
        <w:rPr>
          <w:rFonts w:hint="eastAsia" w:ascii="宋体" w:hAnsi="宋体"/>
          <w:color w:val="auto"/>
          <w:sz w:val="24"/>
        </w:rPr>
        <w:t>7</w:t>
      </w:r>
      <w:r>
        <w:rPr>
          <w:rFonts w:ascii="宋体" w:hAnsi="宋体"/>
          <w:color w:val="auto"/>
          <w:sz w:val="24"/>
        </w:rPr>
        <w:t>月1日实施</w:t>
      </w:r>
      <w:r>
        <w:rPr>
          <w:rFonts w:hint="eastAsia" w:ascii="宋体" w:hAnsi="宋体"/>
          <w:color w:val="auto"/>
          <w:sz w:val="24"/>
        </w:rPr>
        <w:t>）；</w:t>
      </w:r>
    </w:p>
    <w:p>
      <w:pPr>
        <w:widowControl/>
        <w:numPr>
          <w:ilvl w:val="0"/>
          <w:numId w:val="6"/>
        </w:numPr>
        <w:tabs>
          <w:tab w:val="left" w:pos="284"/>
          <w:tab w:val="left" w:pos="567"/>
        </w:tabs>
        <w:spacing w:line="500" w:lineRule="exact"/>
        <w:ind w:firstLine="480" w:firstLineChars="200"/>
        <w:rPr>
          <w:rFonts w:ascii="宋体" w:hAnsi="宋体"/>
          <w:color w:val="auto"/>
          <w:sz w:val="24"/>
        </w:rPr>
      </w:pPr>
      <w:r>
        <w:rPr>
          <w:rFonts w:hint="eastAsia" w:ascii="宋体" w:hAnsi="宋体"/>
          <w:color w:val="auto"/>
          <w:sz w:val="24"/>
        </w:rPr>
        <w:t>《中国地震动参数区划图》（GB18306-2015，国家质量监督检验检疫总局、国家标准化管理委员会2015年5月15日发布，2016年6月1日实施）；</w:t>
      </w:r>
    </w:p>
    <w:p>
      <w:pPr>
        <w:widowControl/>
        <w:numPr>
          <w:ilvl w:val="0"/>
          <w:numId w:val="6"/>
        </w:numPr>
        <w:tabs>
          <w:tab w:val="left" w:pos="284"/>
          <w:tab w:val="left" w:pos="567"/>
        </w:tabs>
        <w:spacing w:line="500" w:lineRule="exact"/>
        <w:ind w:firstLine="480" w:firstLineChars="200"/>
        <w:rPr>
          <w:rFonts w:ascii="宋体" w:hAnsi="宋体"/>
          <w:color w:val="auto"/>
          <w:sz w:val="24"/>
        </w:rPr>
      </w:pPr>
      <w:r>
        <w:rPr>
          <w:rFonts w:hint="eastAsia" w:ascii="宋体" w:hAnsi="宋体"/>
          <w:color w:val="auto"/>
          <w:sz w:val="24"/>
        </w:rPr>
        <w:t>《危险化学品重大危险源辨识》（GB 18218-2018，国家市场监督管理总局、中国国家标准化管理委员为2018年11月19日发布，2019年3月1日实施）；</w:t>
      </w:r>
    </w:p>
    <w:p>
      <w:pPr>
        <w:widowControl/>
        <w:numPr>
          <w:ilvl w:val="0"/>
          <w:numId w:val="6"/>
        </w:numPr>
        <w:tabs>
          <w:tab w:val="left" w:pos="284"/>
          <w:tab w:val="left" w:pos="567"/>
        </w:tabs>
        <w:spacing w:line="500" w:lineRule="exact"/>
        <w:ind w:firstLine="480" w:firstLineChars="200"/>
        <w:rPr>
          <w:rFonts w:ascii="宋体" w:hAnsi="宋体"/>
          <w:color w:val="auto"/>
          <w:sz w:val="24"/>
        </w:rPr>
      </w:pPr>
      <w:r>
        <w:rPr>
          <w:rFonts w:hint="eastAsia" w:ascii="宋体" w:hAnsi="宋体"/>
          <w:color w:val="auto"/>
          <w:sz w:val="24"/>
        </w:rPr>
        <w:t>《矿山电力设计标准》（GB50070-2020，2020年2月27日由住房和城乡建设部、质量监督检疫总局发布，于2020年10月1日实施）；</w:t>
      </w:r>
    </w:p>
    <w:p>
      <w:pPr>
        <w:widowControl/>
        <w:numPr>
          <w:ilvl w:val="0"/>
          <w:numId w:val="6"/>
        </w:numPr>
        <w:tabs>
          <w:tab w:val="left" w:pos="284"/>
          <w:tab w:val="left" w:pos="567"/>
        </w:tabs>
        <w:spacing w:line="500" w:lineRule="exact"/>
        <w:ind w:firstLine="480" w:firstLineChars="200"/>
        <w:rPr>
          <w:rFonts w:ascii="宋体" w:hAnsi="宋体"/>
          <w:color w:val="auto"/>
          <w:sz w:val="24"/>
        </w:rPr>
      </w:pPr>
      <w:r>
        <w:rPr>
          <w:rFonts w:hint="eastAsia" w:ascii="宋体" w:hAnsi="宋体"/>
          <w:color w:val="auto"/>
          <w:sz w:val="24"/>
        </w:rPr>
        <w:t>《金属非金属矿山安全规程》（GB16423-2020，2020年10月11日发布，2021年9月1日实施）。</w:t>
      </w:r>
    </w:p>
    <w:p>
      <w:pPr>
        <w:widowControl/>
        <w:spacing w:line="500" w:lineRule="exact"/>
        <w:ind w:firstLine="482" w:firstLineChars="200"/>
        <w:rPr>
          <w:rFonts w:ascii="宋体" w:hAnsi="宋体"/>
          <w:b/>
          <w:color w:val="auto"/>
          <w:sz w:val="24"/>
        </w:rPr>
      </w:pPr>
      <w:r>
        <w:rPr>
          <w:rFonts w:hint="eastAsia" w:ascii="宋体" w:hAnsi="宋体"/>
          <w:b/>
          <w:color w:val="auto"/>
          <w:sz w:val="24"/>
        </w:rPr>
        <w:t>（2）推荐性国标（GB/T）</w:t>
      </w:r>
    </w:p>
    <w:p>
      <w:pPr>
        <w:widowControl/>
        <w:numPr>
          <w:ilvl w:val="0"/>
          <w:numId w:val="7"/>
        </w:numPr>
        <w:tabs>
          <w:tab w:val="left" w:pos="284"/>
          <w:tab w:val="left" w:pos="567"/>
        </w:tabs>
        <w:spacing w:line="500" w:lineRule="exact"/>
        <w:ind w:firstLine="480" w:firstLineChars="200"/>
        <w:rPr>
          <w:rFonts w:ascii="宋体" w:hAnsi="宋体"/>
          <w:color w:val="auto"/>
          <w:sz w:val="24"/>
        </w:rPr>
      </w:pPr>
      <w:r>
        <w:rPr>
          <w:rFonts w:hint="eastAsia" w:ascii="宋体" w:hAnsi="宋体"/>
          <w:color w:val="auto"/>
          <w:sz w:val="24"/>
        </w:rPr>
        <w:t>《生产经营单位生产安全事故应急预案编制导则》（</w:t>
      </w:r>
      <w:r>
        <w:rPr>
          <w:rFonts w:ascii="宋体" w:hAnsi="宋体"/>
          <w:color w:val="auto"/>
          <w:sz w:val="24"/>
        </w:rPr>
        <w:t>GB/T</w:t>
      </w:r>
      <w:r>
        <w:rPr>
          <w:rFonts w:hint="eastAsia" w:ascii="宋体" w:hAnsi="宋体"/>
          <w:color w:val="auto"/>
          <w:sz w:val="24"/>
        </w:rPr>
        <w:t>29639</w:t>
      </w:r>
      <w:r>
        <w:rPr>
          <w:rFonts w:ascii="宋体" w:hAnsi="宋体"/>
          <w:color w:val="auto"/>
          <w:sz w:val="24"/>
        </w:rPr>
        <w:t>-</w:t>
      </w:r>
      <w:r>
        <w:rPr>
          <w:rFonts w:hint="eastAsia" w:ascii="宋体" w:hAnsi="宋体"/>
          <w:color w:val="auto"/>
          <w:sz w:val="24"/>
        </w:rPr>
        <w:t>20</w:t>
      </w:r>
      <w:r>
        <w:rPr>
          <w:rFonts w:ascii="宋体" w:hAnsi="宋体"/>
          <w:color w:val="auto"/>
          <w:sz w:val="24"/>
        </w:rPr>
        <w:t>20</w:t>
      </w:r>
      <w:r>
        <w:rPr>
          <w:rFonts w:hint="eastAsia" w:ascii="宋体" w:hAnsi="宋体"/>
          <w:color w:val="auto"/>
          <w:sz w:val="24"/>
        </w:rPr>
        <w:t>，</w:t>
      </w:r>
      <w:r>
        <w:rPr>
          <w:rFonts w:ascii="宋体" w:hAnsi="宋体"/>
          <w:color w:val="auto"/>
          <w:sz w:val="24"/>
        </w:rPr>
        <w:t>国家</w:t>
      </w:r>
      <w:r>
        <w:rPr>
          <w:rFonts w:hint="eastAsia" w:ascii="宋体" w:hAnsi="宋体"/>
          <w:color w:val="auto"/>
          <w:sz w:val="24"/>
        </w:rPr>
        <w:t>市场监督管理</w:t>
      </w:r>
      <w:r>
        <w:rPr>
          <w:rFonts w:ascii="宋体" w:hAnsi="宋体"/>
          <w:color w:val="auto"/>
          <w:sz w:val="24"/>
        </w:rPr>
        <w:t>总局、国家标准化管理委员会2020年9月2</w:t>
      </w:r>
      <w:r>
        <w:rPr>
          <w:rFonts w:hint="eastAsia" w:ascii="宋体" w:hAnsi="宋体"/>
          <w:color w:val="auto"/>
          <w:sz w:val="24"/>
        </w:rPr>
        <w:t>9</w:t>
      </w:r>
      <w:r>
        <w:rPr>
          <w:rFonts w:ascii="宋体" w:hAnsi="宋体"/>
          <w:color w:val="auto"/>
          <w:sz w:val="24"/>
        </w:rPr>
        <w:t>日发布，2021年4月1日实施</w:t>
      </w:r>
      <w:r>
        <w:rPr>
          <w:rFonts w:hint="eastAsia" w:ascii="宋体" w:hAnsi="宋体"/>
          <w:color w:val="auto"/>
          <w:sz w:val="24"/>
        </w:rPr>
        <w:t>）。</w:t>
      </w:r>
    </w:p>
    <w:p>
      <w:pPr>
        <w:widowControl/>
        <w:spacing w:line="500" w:lineRule="exact"/>
        <w:ind w:firstLine="482" w:firstLineChars="200"/>
        <w:rPr>
          <w:rFonts w:ascii="宋体" w:hAnsi="宋体"/>
          <w:b/>
          <w:color w:val="auto"/>
          <w:sz w:val="24"/>
        </w:rPr>
      </w:pPr>
      <w:r>
        <w:rPr>
          <w:rFonts w:hint="eastAsia" w:ascii="宋体" w:hAnsi="宋体"/>
          <w:b/>
          <w:color w:val="auto"/>
          <w:sz w:val="24"/>
        </w:rPr>
        <w:t>（3）国家标准指导性技术文件（GBZ）</w:t>
      </w:r>
    </w:p>
    <w:p>
      <w:pPr>
        <w:widowControl/>
        <w:numPr>
          <w:ilvl w:val="0"/>
          <w:numId w:val="8"/>
        </w:numPr>
        <w:tabs>
          <w:tab w:val="left" w:pos="284"/>
          <w:tab w:val="left" w:pos="567"/>
        </w:tabs>
        <w:spacing w:line="500" w:lineRule="exact"/>
        <w:ind w:firstLine="480" w:firstLineChars="200"/>
        <w:rPr>
          <w:rFonts w:ascii="宋体" w:hAnsi="宋体"/>
          <w:color w:val="auto"/>
          <w:sz w:val="24"/>
        </w:rPr>
      </w:pPr>
      <w:r>
        <w:rPr>
          <w:rFonts w:ascii="宋体" w:hAnsi="宋体"/>
          <w:color w:val="auto"/>
          <w:sz w:val="24"/>
        </w:rPr>
        <w:t>《工业企业设计卫生标准》</w:t>
      </w:r>
      <w:r>
        <w:rPr>
          <w:rFonts w:hint="eastAsia" w:ascii="宋体" w:hAnsi="宋体"/>
          <w:color w:val="auto"/>
          <w:sz w:val="24"/>
        </w:rPr>
        <w:t>（</w:t>
      </w:r>
      <w:r>
        <w:rPr>
          <w:rFonts w:ascii="宋体" w:hAnsi="宋体"/>
          <w:color w:val="auto"/>
          <w:sz w:val="24"/>
        </w:rPr>
        <w:t>GBZ1-20</w:t>
      </w:r>
      <w:r>
        <w:rPr>
          <w:rFonts w:hint="eastAsia" w:ascii="宋体" w:hAnsi="宋体"/>
          <w:color w:val="auto"/>
          <w:sz w:val="24"/>
        </w:rPr>
        <w:t>10，2010年1月22日卫生部发布，</w:t>
      </w:r>
      <w:r>
        <w:rPr>
          <w:rFonts w:ascii="宋体" w:hAnsi="宋体"/>
          <w:color w:val="auto"/>
          <w:sz w:val="24"/>
        </w:rPr>
        <w:t>20</w:t>
      </w:r>
      <w:r>
        <w:rPr>
          <w:rFonts w:hint="eastAsia" w:ascii="宋体" w:hAnsi="宋体"/>
          <w:color w:val="auto"/>
          <w:sz w:val="24"/>
        </w:rPr>
        <w:t>10年8月</w:t>
      </w:r>
      <w:r>
        <w:rPr>
          <w:rFonts w:ascii="宋体" w:hAnsi="宋体"/>
          <w:color w:val="auto"/>
          <w:sz w:val="24"/>
        </w:rPr>
        <w:t>1</w:t>
      </w:r>
      <w:r>
        <w:rPr>
          <w:rFonts w:hint="eastAsia" w:ascii="宋体" w:hAnsi="宋体"/>
          <w:color w:val="auto"/>
          <w:sz w:val="24"/>
        </w:rPr>
        <w:t>日实施）。</w:t>
      </w:r>
    </w:p>
    <w:p>
      <w:pPr>
        <w:widowControl/>
        <w:spacing w:line="500" w:lineRule="exact"/>
        <w:ind w:firstLine="482" w:firstLineChars="200"/>
        <w:rPr>
          <w:rFonts w:ascii="宋体" w:hAnsi="宋体"/>
          <w:b/>
          <w:color w:val="auto"/>
          <w:sz w:val="24"/>
        </w:rPr>
      </w:pPr>
      <w:r>
        <w:rPr>
          <w:rFonts w:hint="eastAsia" w:ascii="宋体" w:hAnsi="宋体"/>
          <w:b/>
          <w:color w:val="auto"/>
          <w:sz w:val="24"/>
        </w:rPr>
        <w:t>（4）国</w:t>
      </w:r>
      <w:r>
        <w:rPr>
          <w:rFonts w:ascii="宋体" w:hAnsi="宋体"/>
          <w:b/>
          <w:color w:val="auto"/>
          <w:sz w:val="24"/>
        </w:rPr>
        <w:t>家工程建设标准</w:t>
      </w:r>
      <w:r>
        <w:rPr>
          <w:rFonts w:hint="eastAsia" w:ascii="宋体" w:hAnsi="宋体"/>
          <w:b/>
          <w:color w:val="auto"/>
          <w:sz w:val="24"/>
        </w:rPr>
        <w:t>（GBJ）</w:t>
      </w:r>
    </w:p>
    <w:p>
      <w:pPr>
        <w:widowControl/>
        <w:numPr>
          <w:ilvl w:val="0"/>
          <w:numId w:val="9"/>
        </w:numPr>
        <w:tabs>
          <w:tab w:val="left" w:pos="284"/>
          <w:tab w:val="left" w:pos="567"/>
        </w:tabs>
        <w:spacing w:line="500" w:lineRule="exact"/>
        <w:ind w:firstLine="480" w:firstLineChars="200"/>
        <w:rPr>
          <w:rFonts w:ascii="宋体" w:hAnsi="宋体"/>
          <w:color w:val="auto"/>
          <w:sz w:val="24"/>
        </w:rPr>
      </w:pPr>
      <w:r>
        <w:rPr>
          <w:rFonts w:ascii="宋体" w:hAnsi="宋体"/>
          <w:color w:val="auto"/>
          <w:sz w:val="24"/>
        </w:rPr>
        <w:t>《厂矿道路设计规范》</w:t>
      </w:r>
      <w:r>
        <w:rPr>
          <w:rFonts w:hint="eastAsia" w:ascii="宋体" w:hAnsi="宋体"/>
          <w:color w:val="auto"/>
          <w:sz w:val="24"/>
        </w:rPr>
        <w:t>（</w:t>
      </w:r>
      <w:r>
        <w:rPr>
          <w:rFonts w:ascii="宋体" w:hAnsi="宋体"/>
          <w:color w:val="auto"/>
          <w:sz w:val="24"/>
        </w:rPr>
        <w:t>GBJ22-1987</w:t>
      </w:r>
      <w:r>
        <w:rPr>
          <w:rFonts w:hint="eastAsia" w:ascii="宋体" w:hAnsi="宋体"/>
          <w:color w:val="auto"/>
          <w:sz w:val="24"/>
        </w:rPr>
        <w:t>，</w:t>
      </w:r>
      <w:r>
        <w:rPr>
          <w:rFonts w:ascii="宋体" w:hAnsi="宋体"/>
          <w:color w:val="auto"/>
          <w:sz w:val="24"/>
        </w:rPr>
        <w:t>中华人民共和国国家计划委员会1987年12月15日</w:t>
      </w:r>
      <w:r>
        <w:rPr>
          <w:rFonts w:hint="eastAsia" w:ascii="宋体" w:hAnsi="宋体"/>
          <w:color w:val="auto"/>
          <w:sz w:val="24"/>
        </w:rPr>
        <w:t>发布，</w:t>
      </w:r>
      <w:r>
        <w:rPr>
          <w:rFonts w:ascii="宋体" w:hAnsi="宋体"/>
          <w:color w:val="auto"/>
          <w:sz w:val="24"/>
        </w:rPr>
        <w:t>1988年8月1日</w:t>
      </w:r>
      <w:r>
        <w:rPr>
          <w:rFonts w:hint="eastAsia" w:ascii="宋体" w:hAnsi="宋体"/>
          <w:color w:val="auto"/>
          <w:sz w:val="24"/>
        </w:rPr>
        <w:t>实施）。</w:t>
      </w:r>
    </w:p>
    <w:p>
      <w:pPr>
        <w:widowControl/>
        <w:spacing w:line="500" w:lineRule="exact"/>
        <w:ind w:firstLine="482" w:firstLineChars="200"/>
        <w:rPr>
          <w:rFonts w:ascii="宋体" w:hAnsi="宋体"/>
          <w:b/>
          <w:color w:val="auto"/>
          <w:sz w:val="24"/>
        </w:rPr>
      </w:pPr>
      <w:r>
        <w:rPr>
          <w:rFonts w:hint="eastAsia" w:ascii="宋体" w:hAnsi="宋体"/>
          <w:b/>
          <w:color w:val="auto"/>
          <w:sz w:val="24"/>
        </w:rPr>
        <w:t>（5）行业</w:t>
      </w:r>
      <w:r>
        <w:rPr>
          <w:rFonts w:ascii="宋体" w:hAnsi="宋体"/>
          <w:b/>
          <w:color w:val="auto"/>
          <w:sz w:val="24"/>
        </w:rPr>
        <w:t>标准</w:t>
      </w:r>
      <w:r>
        <w:rPr>
          <w:rFonts w:hint="eastAsia" w:ascii="宋体" w:hAnsi="宋体"/>
          <w:b/>
          <w:color w:val="auto"/>
          <w:sz w:val="24"/>
        </w:rPr>
        <w:t>（AQ、GA）</w:t>
      </w:r>
    </w:p>
    <w:p>
      <w:pPr>
        <w:widowControl/>
        <w:numPr>
          <w:ilvl w:val="0"/>
          <w:numId w:val="10"/>
        </w:numPr>
        <w:tabs>
          <w:tab w:val="left" w:pos="284"/>
          <w:tab w:val="left" w:pos="567"/>
        </w:tabs>
        <w:spacing w:line="500" w:lineRule="exact"/>
        <w:ind w:firstLine="480" w:firstLineChars="200"/>
        <w:rPr>
          <w:rFonts w:ascii="宋体" w:hAnsi="宋体"/>
          <w:color w:val="auto"/>
          <w:sz w:val="24"/>
        </w:rPr>
      </w:pPr>
      <w:r>
        <w:rPr>
          <w:rFonts w:hint="eastAsia" w:ascii="宋体" w:hAnsi="宋体"/>
          <w:color w:val="auto"/>
          <w:sz w:val="24"/>
        </w:rPr>
        <w:t>《金属非金属矿山排土场安全生产规则》（AQ2005-2005，国家安全生产监督管理总局）；</w:t>
      </w:r>
    </w:p>
    <w:p>
      <w:pPr>
        <w:widowControl/>
        <w:numPr>
          <w:ilvl w:val="0"/>
          <w:numId w:val="10"/>
        </w:numPr>
        <w:tabs>
          <w:tab w:val="left" w:pos="284"/>
          <w:tab w:val="left" w:pos="567"/>
        </w:tabs>
        <w:spacing w:line="500" w:lineRule="exact"/>
        <w:ind w:firstLine="480" w:firstLineChars="200"/>
        <w:rPr>
          <w:rFonts w:ascii="宋体" w:hAnsi="宋体"/>
          <w:color w:val="auto"/>
          <w:sz w:val="24"/>
        </w:rPr>
      </w:pPr>
      <w:r>
        <w:rPr>
          <w:rFonts w:ascii="宋体" w:hAnsi="宋体"/>
          <w:color w:val="auto"/>
          <w:sz w:val="24"/>
        </w:rPr>
        <w:t>《安全预评价导则》</w:t>
      </w:r>
      <w:r>
        <w:rPr>
          <w:rFonts w:hint="eastAsia" w:ascii="宋体" w:hAnsi="宋体"/>
          <w:color w:val="auto"/>
          <w:sz w:val="24"/>
        </w:rPr>
        <w:t>（</w:t>
      </w:r>
      <w:r>
        <w:rPr>
          <w:rFonts w:ascii="宋体" w:hAnsi="宋体"/>
          <w:color w:val="auto"/>
          <w:sz w:val="24"/>
        </w:rPr>
        <w:t>AQ8002-2007</w:t>
      </w:r>
      <w:r>
        <w:rPr>
          <w:rFonts w:hint="eastAsia" w:ascii="宋体" w:hAnsi="宋体"/>
          <w:color w:val="auto"/>
          <w:sz w:val="24"/>
        </w:rPr>
        <w:t>，国家安全生产监督管理总局2007年1月4日发布，2007年4月1日施行）；</w:t>
      </w:r>
    </w:p>
    <w:p>
      <w:pPr>
        <w:widowControl/>
        <w:numPr>
          <w:ilvl w:val="0"/>
          <w:numId w:val="10"/>
        </w:numPr>
        <w:tabs>
          <w:tab w:val="left" w:pos="284"/>
          <w:tab w:val="left" w:pos="567"/>
        </w:tabs>
        <w:spacing w:line="500" w:lineRule="exact"/>
        <w:ind w:firstLine="480" w:firstLineChars="200"/>
        <w:rPr>
          <w:rFonts w:ascii="宋体" w:hAnsi="宋体"/>
          <w:color w:val="auto"/>
          <w:sz w:val="24"/>
        </w:rPr>
      </w:pPr>
      <w:r>
        <w:rPr>
          <w:rFonts w:ascii="宋体" w:hAnsi="宋体"/>
          <w:color w:val="auto"/>
          <w:sz w:val="24"/>
        </w:rPr>
        <w:t>《安全评价通则》</w:t>
      </w:r>
      <w:r>
        <w:rPr>
          <w:rFonts w:hint="eastAsia" w:ascii="宋体" w:hAnsi="宋体"/>
          <w:color w:val="auto"/>
          <w:sz w:val="24"/>
        </w:rPr>
        <w:t>（</w:t>
      </w:r>
      <w:r>
        <w:rPr>
          <w:rFonts w:ascii="宋体" w:hAnsi="宋体"/>
          <w:color w:val="auto"/>
          <w:sz w:val="24"/>
        </w:rPr>
        <w:t>AQ8001-2007</w:t>
      </w:r>
      <w:r>
        <w:rPr>
          <w:rFonts w:hint="eastAsia" w:ascii="宋体" w:hAnsi="宋体"/>
          <w:color w:val="auto"/>
          <w:sz w:val="24"/>
        </w:rPr>
        <w:t>，国家安全生产监督管理总局2007年1月4日发布，2007年4月1日施行）；</w:t>
      </w:r>
    </w:p>
    <w:p>
      <w:pPr>
        <w:widowControl/>
        <w:numPr>
          <w:ilvl w:val="0"/>
          <w:numId w:val="10"/>
        </w:numPr>
        <w:tabs>
          <w:tab w:val="left" w:pos="284"/>
          <w:tab w:val="left" w:pos="567"/>
        </w:tabs>
        <w:spacing w:line="500" w:lineRule="exact"/>
        <w:ind w:firstLine="480" w:firstLineChars="200"/>
        <w:rPr>
          <w:rFonts w:ascii="宋体" w:hAnsi="宋体"/>
          <w:color w:val="auto"/>
          <w:sz w:val="24"/>
        </w:rPr>
      </w:pPr>
      <w:r>
        <w:rPr>
          <w:rFonts w:hint="eastAsia" w:ascii="宋体" w:hAnsi="宋体"/>
          <w:color w:val="auto"/>
          <w:sz w:val="24"/>
        </w:rPr>
        <w:t>《金属非金属矿山在用设备设施安全检测检验目录》（AQ/T2075-2019，2019年8月12日发布，2020年2月1日实施）。</w:t>
      </w:r>
    </w:p>
    <w:p>
      <w:pPr>
        <w:pStyle w:val="122"/>
        <w:widowControl/>
        <w:spacing w:line="500" w:lineRule="exact"/>
        <w:ind w:firstLine="489"/>
        <w:jc w:val="both"/>
        <w:rPr>
          <w:rFonts w:ascii="宋体" w:hAnsi="宋体"/>
          <w:b/>
          <w:color w:val="auto"/>
        </w:rPr>
      </w:pPr>
      <w:r>
        <w:rPr>
          <w:rFonts w:hint="eastAsia" w:ascii="宋体" w:hAnsi="宋体"/>
          <w:b/>
          <w:color w:val="auto"/>
        </w:rPr>
        <w:t>（</w:t>
      </w:r>
      <w:r>
        <w:rPr>
          <w:rFonts w:ascii="宋体" w:hAnsi="宋体"/>
          <w:b/>
          <w:color w:val="auto"/>
        </w:rPr>
        <w:t>6</w:t>
      </w:r>
      <w:r>
        <w:rPr>
          <w:rFonts w:hint="eastAsia" w:ascii="宋体" w:hAnsi="宋体"/>
          <w:b/>
          <w:color w:val="auto"/>
        </w:rPr>
        <w:t>）其他</w:t>
      </w:r>
    </w:p>
    <w:p>
      <w:pPr>
        <w:widowControl/>
        <w:numPr>
          <w:ilvl w:val="0"/>
          <w:numId w:val="11"/>
        </w:numPr>
        <w:tabs>
          <w:tab w:val="left" w:pos="284"/>
          <w:tab w:val="left" w:pos="567"/>
        </w:tabs>
        <w:spacing w:line="500" w:lineRule="exact"/>
        <w:ind w:firstLine="480" w:firstLineChars="200"/>
        <w:rPr>
          <w:rFonts w:ascii="宋体" w:hAnsi="宋体"/>
          <w:color w:val="auto"/>
          <w:sz w:val="24"/>
        </w:rPr>
      </w:pPr>
      <w:r>
        <w:rPr>
          <w:rFonts w:hint="eastAsia" w:ascii="宋体" w:hAnsi="宋体"/>
          <w:color w:val="auto"/>
          <w:sz w:val="24"/>
        </w:rPr>
        <w:t>《采矿设计手册》（中国矿大出版社）。</w:t>
      </w:r>
    </w:p>
    <w:bookmarkEnd w:id="62"/>
    <w:p>
      <w:pPr>
        <w:pStyle w:val="5"/>
        <w:keepLines w:val="0"/>
        <w:widowControl/>
        <w:spacing w:before="120" w:after="120" w:line="500" w:lineRule="exact"/>
        <w:rPr>
          <w:rFonts w:ascii="宋体" w:hAnsi="宋体"/>
          <w:color w:val="auto"/>
          <w:kern w:val="28"/>
          <w:sz w:val="28"/>
          <w:szCs w:val="28"/>
        </w:rPr>
      </w:pPr>
      <w:bookmarkStart w:id="86" w:name="_Toc233881320"/>
      <w:bookmarkStart w:id="87" w:name="_Toc158167830"/>
      <w:bookmarkStart w:id="88" w:name="_Toc298373269"/>
      <w:bookmarkStart w:id="89" w:name="_Toc213727791"/>
      <w:bookmarkStart w:id="90" w:name="_Toc158167943"/>
      <w:r>
        <w:rPr>
          <w:rFonts w:hint="eastAsia" w:ascii="宋体" w:hAnsi="宋体"/>
          <w:color w:val="auto"/>
          <w:kern w:val="28"/>
          <w:sz w:val="28"/>
          <w:szCs w:val="28"/>
        </w:rPr>
        <w:t>1.</w:t>
      </w:r>
      <w:r>
        <w:rPr>
          <w:rFonts w:ascii="宋体" w:hAnsi="宋体"/>
          <w:color w:val="auto"/>
          <w:kern w:val="28"/>
          <w:sz w:val="28"/>
          <w:szCs w:val="28"/>
        </w:rPr>
        <w:t>2</w:t>
      </w:r>
      <w:r>
        <w:rPr>
          <w:rFonts w:hint="eastAsia" w:ascii="宋体" w:hAnsi="宋体"/>
          <w:color w:val="auto"/>
          <w:kern w:val="28"/>
          <w:sz w:val="28"/>
          <w:szCs w:val="28"/>
        </w:rPr>
        <w:t>.</w:t>
      </w:r>
      <w:r>
        <w:rPr>
          <w:rFonts w:ascii="宋体" w:hAnsi="宋体"/>
          <w:color w:val="auto"/>
          <w:kern w:val="28"/>
          <w:sz w:val="28"/>
          <w:szCs w:val="28"/>
        </w:rPr>
        <w:t>3</w:t>
      </w:r>
      <w:r>
        <w:rPr>
          <w:rFonts w:hint="eastAsia" w:ascii="宋体" w:hAnsi="宋体"/>
          <w:color w:val="auto"/>
          <w:kern w:val="28"/>
          <w:sz w:val="28"/>
          <w:szCs w:val="28"/>
        </w:rPr>
        <w:t>建设项目技术资料</w:t>
      </w:r>
    </w:p>
    <w:p>
      <w:pPr>
        <w:widowControl/>
        <w:spacing w:line="500" w:lineRule="exact"/>
        <w:ind w:firstLine="480" w:firstLineChars="200"/>
        <w:rPr>
          <w:rFonts w:ascii="宋体" w:hAnsi="宋体"/>
          <w:color w:val="auto"/>
          <w:sz w:val="24"/>
        </w:rPr>
      </w:pPr>
      <w:r>
        <w:rPr>
          <w:rFonts w:hint="eastAsia" w:ascii="宋体" w:hAnsi="宋体"/>
          <w:color w:val="auto"/>
          <w:sz w:val="24"/>
        </w:rPr>
        <w:t>1）《广东省兴宁市水口镇军营矿区陶瓷用高岭土矿资源储量核实报告》，广东省地质局第八地质大队，2013年3月；</w:t>
      </w:r>
    </w:p>
    <w:p>
      <w:pPr>
        <w:widowControl/>
        <w:spacing w:line="500" w:lineRule="exact"/>
        <w:ind w:firstLine="480" w:firstLineChars="200"/>
        <w:rPr>
          <w:rFonts w:ascii="宋体" w:hAnsi="宋体"/>
          <w:color w:val="auto"/>
          <w:sz w:val="24"/>
        </w:rPr>
      </w:pPr>
      <w:r>
        <w:rPr>
          <w:rFonts w:hint="eastAsia" w:ascii="宋体" w:hAnsi="宋体"/>
          <w:color w:val="auto"/>
          <w:sz w:val="24"/>
        </w:rPr>
        <w:t>2）《&lt;广东省兴宁市水口镇军营矿区陶瓷用高岭土矿矿资源储量核实报告&gt;矿产资源储量评审备案证明》，梅市国土资储备证[</w:t>
      </w:r>
      <w:r>
        <w:rPr>
          <w:rFonts w:ascii="宋体" w:hAnsi="宋体"/>
          <w:color w:val="auto"/>
          <w:sz w:val="24"/>
        </w:rPr>
        <w:t>2013]13</w:t>
      </w:r>
      <w:r>
        <w:rPr>
          <w:rFonts w:hint="eastAsia" w:ascii="宋体" w:hAnsi="宋体"/>
          <w:color w:val="auto"/>
          <w:sz w:val="24"/>
        </w:rPr>
        <w:t>号，梅州市国土资源局，2</w:t>
      </w:r>
      <w:r>
        <w:rPr>
          <w:rFonts w:ascii="宋体" w:hAnsi="宋体"/>
          <w:color w:val="auto"/>
          <w:sz w:val="24"/>
        </w:rPr>
        <w:t>023</w:t>
      </w:r>
      <w:r>
        <w:rPr>
          <w:rFonts w:hint="eastAsia" w:ascii="宋体" w:hAnsi="宋体"/>
          <w:color w:val="auto"/>
          <w:sz w:val="24"/>
        </w:rPr>
        <w:t>年1</w:t>
      </w:r>
      <w:r>
        <w:rPr>
          <w:rFonts w:ascii="宋体" w:hAnsi="宋体"/>
          <w:color w:val="auto"/>
          <w:sz w:val="24"/>
        </w:rPr>
        <w:t>1</w:t>
      </w:r>
      <w:r>
        <w:rPr>
          <w:rFonts w:hint="eastAsia" w:ascii="宋体" w:hAnsi="宋体"/>
          <w:color w:val="auto"/>
          <w:sz w:val="24"/>
        </w:rPr>
        <w:t>月1</w:t>
      </w:r>
      <w:r>
        <w:rPr>
          <w:rFonts w:ascii="宋体" w:hAnsi="宋体"/>
          <w:color w:val="auto"/>
          <w:sz w:val="24"/>
        </w:rPr>
        <w:t>2</w:t>
      </w:r>
      <w:r>
        <w:rPr>
          <w:rFonts w:hint="eastAsia" w:ascii="宋体" w:hAnsi="宋体"/>
          <w:color w:val="auto"/>
          <w:sz w:val="24"/>
        </w:rPr>
        <w:t>日；</w:t>
      </w:r>
    </w:p>
    <w:p>
      <w:pPr>
        <w:widowControl/>
        <w:spacing w:line="500" w:lineRule="exact"/>
        <w:ind w:firstLine="480" w:firstLineChars="200"/>
        <w:rPr>
          <w:rFonts w:ascii="宋体" w:hAnsi="宋体"/>
          <w:color w:val="auto"/>
          <w:sz w:val="24"/>
        </w:rPr>
      </w:pPr>
      <w:r>
        <w:rPr>
          <w:rFonts w:ascii="宋体" w:hAnsi="宋体"/>
          <w:color w:val="auto"/>
          <w:sz w:val="24"/>
        </w:rPr>
        <w:t>3</w:t>
      </w:r>
      <w:r>
        <w:rPr>
          <w:rFonts w:hint="eastAsia" w:ascii="宋体" w:hAnsi="宋体"/>
          <w:color w:val="auto"/>
          <w:sz w:val="24"/>
        </w:rPr>
        <w:t>）《兴宁市守元矿业有限公司军营高岭土矿分公司2022 年度矿山储量动态检测报告》，广东煤炭地质一五二勘探队，2</w:t>
      </w:r>
      <w:r>
        <w:rPr>
          <w:rFonts w:ascii="宋体" w:hAnsi="宋体"/>
          <w:color w:val="auto"/>
          <w:sz w:val="24"/>
        </w:rPr>
        <w:t>023</w:t>
      </w:r>
      <w:r>
        <w:rPr>
          <w:rFonts w:hint="eastAsia" w:ascii="宋体" w:hAnsi="宋体"/>
          <w:color w:val="auto"/>
          <w:sz w:val="24"/>
        </w:rPr>
        <w:t>年5月；</w:t>
      </w:r>
    </w:p>
    <w:p>
      <w:pPr>
        <w:widowControl/>
        <w:spacing w:line="500" w:lineRule="exact"/>
        <w:ind w:firstLine="480" w:firstLineChars="200"/>
        <w:rPr>
          <w:rFonts w:ascii="宋体" w:hAnsi="宋体"/>
          <w:color w:val="auto"/>
          <w:sz w:val="24"/>
        </w:rPr>
      </w:pPr>
      <w:r>
        <w:rPr>
          <w:rFonts w:ascii="宋体" w:hAnsi="宋体"/>
          <w:color w:val="auto"/>
          <w:sz w:val="24"/>
        </w:rPr>
        <w:t>4</w:t>
      </w:r>
      <w:r>
        <w:rPr>
          <w:rFonts w:hint="eastAsia" w:ascii="宋体" w:hAnsi="宋体"/>
          <w:color w:val="auto"/>
          <w:sz w:val="24"/>
        </w:rPr>
        <w:t>）《&lt;兴宁市守元矿业有限公司军营高岭土矿分公司2</w:t>
      </w:r>
      <w:r>
        <w:rPr>
          <w:rFonts w:ascii="宋体" w:hAnsi="宋体"/>
          <w:color w:val="auto"/>
          <w:sz w:val="24"/>
        </w:rPr>
        <w:t>022</w:t>
      </w:r>
      <w:r>
        <w:rPr>
          <w:rFonts w:hint="eastAsia" w:ascii="宋体" w:hAnsi="宋体"/>
          <w:color w:val="auto"/>
          <w:sz w:val="24"/>
        </w:rPr>
        <w:t>年度矿山储量动态检测报告</w:t>
      </w:r>
      <w:r>
        <w:rPr>
          <w:rFonts w:ascii="宋体" w:hAnsi="宋体"/>
          <w:color w:val="auto"/>
          <w:sz w:val="24"/>
        </w:rPr>
        <w:t>&gt;</w:t>
      </w:r>
      <w:r>
        <w:rPr>
          <w:rFonts w:hint="eastAsia" w:ascii="宋体" w:hAnsi="宋体"/>
          <w:color w:val="auto"/>
          <w:sz w:val="24"/>
        </w:rPr>
        <w:t>核查意见》，广东煤炭地质二O一勘探队，2</w:t>
      </w:r>
      <w:r>
        <w:rPr>
          <w:rFonts w:ascii="宋体" w:hAnsi="宋体"/>
          <w:color w:val="auto"/>
          <w:sz w:val="24"/>
        </w:rPr>
        <w:t>023</w:t>
      </w:r>
      <w:r>
        <w:rPr>
          <w:rFonts w:hint="eastAsia" w:ascii="宋体" w:hAnsi="宋体"/>
          <w:color w:val="auto"/>
          <w:sz w:val="24"/>
        </w:rPr>
        <w:t>年5月；</w:t>
      </w:r>
    </w:p>
    <w:p>
      <w:pPr>
        <w:widowControl/>
        <w:spacing w:line="500" w:lineRule="exact"/>
        <w:ind w:firstLine="480" w:firstLineChars="200"/>
        <w:rPr>
          <w:rFonts w:ascii="宋体" w:hAnsi="宋体"/>
          <w:color w:val="auto"/>
          <w:sz w:val="24"/>
        </w:rPr>
      </w:pPr>
      <w:r>
        <w:rPr>
          <w:rFonts w:ascii="宋体" w:hAnsi="宋体"/>
          <w:color w:val="auto"/>
          <w:sz w:val="24"/>
        </w:rPr>
        <w:t>5</w:t>
      </w:r>
      <w:r>
        <w:rPr>
          <w:rFonts w:hint="eastAsia" w:ascii="宋体" w:hAnsi="宋体"/>
          <w:color w:val="auto"/>
          <w:sz w:val="24"/>
        </w:rPr>
        <w:t>）《兴宁市守元矿业有限公司军营高岭土矿分公司扩建年产5万吨高岭土露天开采项目可行性研究报告》，兴宁市守元矿业有限公司军营高岭土矿分公司，2023年7月；</w:t>
      </w:r>
    </w:p>
    <w:bookmarkEnd w:id="86"/>
    <w:bookmarkEnd w:id="87"/>
    <w:bookmarkEnd w:id="88"/>
    <w:bookmarkEnd w:id="89"/>
    <w:bookmarkEnd w:id="90"/>
    <w:p>
      <w:pPr>
        <w:pStyle w:val="5"/>
        <w:keepLines w:val="0"/>
        <w:widowControl/>
        <w:spacing w:before="120" w:after="120" w:line="500" w:lineRule="exact"/>
        <w:rPr>
          <w:rFonts w:ascii="宋体" w:hAnsi="宋体"/>
          <w:color w:val="auto"/>
          <w:kern w:val="28"/>
          <w:sz w:val="28"/>
          <w:szCs w:val="28"/>
        </w:rPr>
      </w:pPr>
      <w:r>
        <w:rPr>
          <w:rFonts w:ascii="宋体" w:hAnsi="宋体"/>
          <w:color w:val="auto"/>
          <w:kern w:val="28"/>
          <w:sz w:val="28"/>
          <w:szCs w:val="28"/>
        </w:rPr>
        <w:t>1.2.4</w:t>
      </w:r>
      <w:r>
        <w:rPr>
          <w:rFonts w:hint="eastAsia" w:ascii="宋体" w:hAnsi="宋体"/>
          <w:color w:val="auto"/>
          <w:kern w:val="28"/>
          <w:sz w:val="28"/>
          <w:szCs w:val="28"/>
        </w:rPr>
        <w:t>其他评价依据</w:t>
      </w:r>
    </w:p>
    <w:p>
      <w:pPr>
        <w:widowControl/>
        <w:spacing w:line="500" w:lineRule="exact"/>
        <w:ind w:firstLine="480" w:firstLineChars="200"/>
        <w:rPr>
          <w:rFonts w:ascii="宋体" w:hAnsi="宋体"/>
          <w:color w:val="auto"/>
          <w:sz w:val="24"/>
        </w:rPr>
      </w:pPr>
      <w:r>
        <w:rPr>
          <w:rFonts w:ascii="宋体" w:hAnsi="宋体"/>
          <w:color w:val="auto"/>
          <w:sz w:val="24"/>
        </w:rPr>
        <w:t>1</w:t>
      </w:r>
      <w:r>
        <w:rPr>
          <w:rFonts w:hint="eastAsia" w:ascii="宋体" w:hAnsi="宋体"/>
          <w:color w:val="auto"/>
          <w:sz w:val="24"/>
        </w:rPr>
        <w:t>）企业提供的安全评价委托书；</w:t>
      </w:r>
    </w:p>
    <w:p>
      <w:pPr>
        <w:widowControl/>
        <w:spacing w:line="500" w:lineRule="exact"/>
        <w:ind w:firstLine="480" w:firstLineChars="200"/>
        <w:rPr>
          <w:rFonts w:ascii="宋体" w:hAnsi="宋体"/>
          <w:color w:val="auto"/>
          <w:sz w:val="24"/>
        </w:rPr>
      </w:pPr>
      <w:r>
        <w:rPr>
          <w:rFonts w:ascii="宋体" w:hAnsi="宋体"/>
          <w:color w:val="auto"/>
          <w:sz w:val="24"/>
        </w:rPr>
        <w:t>2</w:t>
      </w:r>
      <w:r>
        <w:rPr>
          <w:rFonts w:hint="eastAsia" w:ascii="宋体" w:hAnsi="宋体"/>
          <w:color w:val="auto"/>
          <w:sz w:val="24"/>
        </w:rPr>
        <w:t>）《广东省企业投资项目备案证》（备案</w:t>
      </w:r>
      <w:r>
        <w:rPr>
          <w:rFonts w:ascii="宋体" w:hAnsi="宋体"/>
          <w:color w:val="auto"/>
          <w:sz w:val="24"/>
        </w:rPr>
        <w:t>机关：</w:t>
      </w:r>
      <w:r>
        <w:rPr>
          <w:rFonts w:hint="eastAsia" w:ascii="宋体" w:hAnsi="宋体"/>
          <w:color w:val="auto"/>
          <w:sz w:val="24"/>
        </w:rPr>
        <w:t>兴宁市发展和改革局；备案项目编号：</w:t>
      </w:r>
      <w:r>
        <w:rPr>
          <w:rFonts w:ascii="宋体" w:hAnsi="宋体"/>
          <w:color w:val="auto"/>
          <w:sz w:val="24"/>
        </w:rPr>
        <w:t>2307-441481-16-01-798318</w:t>
      </w:r>
      <w:r>
        <w:rPr>
          <w:rFonts w:hint="eastAsia" w:ascii="宋体" w:hAnsi="宋体"/>
          <w:color w:val="auto"/>
          <w:sz w:val="24"/>
        </w:rPr>
        <w:t>，备案日期：</w:t>
      </w:r>
      <w:r>
        <w:rPr>
          <w:rFonts w:ascii="宋体" w:hAnsi="宋体"/>
          <w:color w:val="auto"/>
          <w:sz w:val="24"/>
        </w:rPr>
        <w:t>2023年10月7日</w:t>
      </w:r>
      <w:r>
        <w:rPr>
          <w:rFonts w:hint="eastAsia" w:ascii="宋体" w:hAnsi="宋体"/>
          <w:color w:val="auto"/>
          <w:sz w:val="24"/>
        </w:rPr>
        <w:t>）；</w:t>
      </w:r>
    </w:p>
    <w:p>
      <w:pPr>
        <w:widowControl/>
        <w:spacing w:line="500" w:lineRule="exact"/>
        <w:ind w:firstLine="480" w:firstLineChars="200"/>
        <w:rPr>
          <w:rFonts w:ascii="宋体" w:hAnsi="宋体"/>
          <w:color w:val="auto"/>
          <w:sz w:val="24"/>
        </w:rPr>
      </w:pPr>
      <w:r>
        <w:rPr>
          <w:rFonts w:ascii="宋体" w:hAnsi="宋体"/>
          <w:color w:val="auto"/>
          <w:sz w:val="24"/>
        </w:rPr>
        <w:t>3</w:t>
      </w:r>
      <w:r>
        <w:rPr>
          <w:rFonts w:hint="eastAsia" w:ascii="宋体" w:hAnsi="宋体"/>
          <w:color w:val="auto"/>
          <w:sz w:val="24"/>
        </w:rPr>
        <w:t>）</w:t>
      </w:r>
      <w:r>
        <w:rPr>
          <w:rFonts w:ascii="宋体" w:hAnsi="宋体"/>
          <w:color w:val="auto"/>
          <w:sz w:val="24"/>
        </w:rPr>
        <w:t>《采矿许可证》（证号：</w:t>
      </w:r>
      <w:r>
        <w:rPr>
          <w:rFonts w:hint="eastAsia" w:ascii="宋体" w:hAnsi="宋体"/>
          <w:color w:val="auto"/>
          <w:sz w:val="24"/>
        </w:rPr>
        <w:t>C4414812014087130135349</w:t>
      </w:r>
      <w:r>
        <w:rPr>
          <w:rFonts w:ascii="宋体" w:hAnsi="宋体"/>
          <w:color w:val="auto"/>
          <w:sz w:val="24"/>
        </w:rPr>
        <w:t>；发证机关：</w:t>
      </w:r>
      <w:r>
        <w:rPr>
          <w:rFonts w:hint="eastAsia" w:ascii="宋体" w:hAnsi="宋体"/>
          <w:color w:val="auto"/>
          <w:sz w:val="24"/>
        </w:rPr>
        <w:t>兴宁市自然资源局</w:t>
      </w:r>
      <w:r>
        <w:rPr>
          <w:rFonts w:ascii="宋体" w:hAnsi="宋体"/>
          <w:color w:val="auto"/>
          <w:sz w:val="24"/>
        </w:rPr>
        <w:t>；</w:t>
      </w:r>
      <w:r>
        <w:rPr>
          <w:rFonts w:hint="eastAsia" w:ascii="宋体" w:hAnsi="宋体"/>
          <w:color w:val="auto"/>
          <w:sz w:val="24"/>
        </w:rPr>
        <w:t>核发时间：2023年9月21日；有效期限至2028年8月29日</w:t>
      </w:r>
      <w:r>
        <w:rPr>
          <w:rFonts w:ascii="宋体" w:hAnsi="宋体"/>
          <w:color w:val="auto"/>
          <w:sz w:val="24"/>
        </w:rPr>
        <w:t>）</w:t>
      </w:r>
      <w:r>
        <w:rPr>
          <w:rFonts w:hint="eastAsia" w:ascii="宋体" w:hAnsi="宋体"/>
          <w:color w:val="auto"/>
          <w:sz w:val="24"/>
        </w:rPr>
        <w:t>；</w:t>
      </w:r>
    </w:p>
    <w:p>
      <w:pPr>
        <w:widowControl/>
        <w:spacing w:line="500" w:lineRule="exact"/>
        <w:ind w:firstLine="480" w:firstLineChars="200"/>
        <w:rPr>
          <w:rFonts w:ascii="宋体" w:hAnsi="宋体"/>
          <w:color w:val="auto"/>
          <w:sz w:val="24"/>
        </w:rPr>
      </w:pPr>
      <w:r>
        <w:rPr>
          <w:rFonts w:ascii="宋体" w:hAnsi="宋体"/>
          <w:color w:val="auto"/>
          <w:sz w:val="24"/>
        </w:rPr>
        <w:t>4</w:t>
      </w:r>
      <w:r>
        <w:rPr>
          <w:rFonts w:hint="eastAsia" w:ascii="宋体" w:hAnsi="宋体"/>
          <w:color w:val="auto"/>
          <w:sz w:val="24"/>
        </w:rPr>
        <w:t>）</w:t>
      </w:r>
      <w:r>
        <w:rPr>
          <w:rFonts w:ascii="宋体" w:hAnsi="宋体"/>
          <w:color w:val="auto"/>
          <w:sz w:val="24"/>
        </w:rPr>
        <w:t>《营业执照》（</w:t>
      </w:r>
      <w:r>
        <w:rPr>
          <w:rFonts w:hint="eastAsia" w:ascii="宋体" w:hAnsi="宋体"/>
          <w:color w:val="auto"/>
          <w:sz w:val="24"/>
        </w:rPr>
        <w:t>统一社会信用代码：914414816771261589；</w:t>
      </w:r>
      <w:r>
        <w:rPr>
          <w:rFonts w:ascii="宋体" w:hAnsi="宋体"/>
          <w:color w:val="auto"/>
          <w:sz w:val="24"/>
        </w:rPr>
        <w:t>发证机关：</w:t>
      </w:r>
      <w:r>
        <w:rPr>
          <w:rFonts w:hint="eastAsia" w:ascii="宋体" w:hAnsi="宋体"/>
          <w:color w:val="auto"/>
          <w:sz w:val="24"/>
        </w:rPr>
        <w:t>兴宁市市场监督管理局</w:t>
      </w:r>
      <w:r>
        <w:rPr>
          <w:rFonts w:ascii="宋体" w:hAnsi="宋体"/>
          <w:color w:val="auto"/>
          <w:sz w:val="24"/>
        </w:rPr>
        <w:t>；成立日期：2008年7月23日）</w:t>
      </w:r>
      <w:r>
        <w:rPr>
          <w:rFonts w:hint="eastAsia" w:ascii="宋体" w:hAnsi="宋体"/>
          <w:color w:val="auto"/>
          <w:sz w:val="24"/>
        </w:rPr>
        <w:t>。</w:t>
      </w:r>
    </w:p>
    <w:p>
      <w:pPr>
        <w:pStyle w:val="3"/>
        <w:widowControl/>
        <w:spacing w:before="120" w:after="120" w:line="500" w:lineRule="exact"/>
        <w:rPr>
          <w:rFonts w:ascii="宋体" w:hAnsi="宋体" w:eastAsia="宋体"/>
          <w:b/>
          <w:color w:val="auto"/>
          <w:kern w:val="30"/>
          <w:sz w:val="30"/>
          <w:szCs w:val="30"/>
        </w:rPr>
      </w:pPr>
      <w:bookmarkStart w:id="91" w:name="_Toc168484299"/>
      <w:bookmarkStart w:id="92" w:name="_Toc156811361"/>
      <w:bookmarkStart w:id="93" w:name="_Toc229928327"/>
      <w:bookmarkStart w:id="94" w:name="_Toc198106903"/>
      <w:bookmarkStart w:id="95" w:name="_Toc158167948"/>
      <w:bookmarkStart w:id="96" w:name="_Toc158167835"/>
      <w:bookmarkStart w:id="97" w:name="_Toc233881326"/>
      <w:bookmarkStart w:id="98" w:name="_Toc149559783"/>
      <w:bookmarkStart w:id="99" w:name="_Toc109632300"/>
      <w:bookmarkStart w:id="100" w:name="_Toc86222954"/>
      <w:bookmarkStart w:id="101" w:name="_Toc86571210"/>
      <w:bookmarkStart w:id="102" w:name="_Toc97627329"/>
      <w:bookmarkStart w:id="103" w:name="_Toc86571532"/>
      <w:bookmarkStart w:id="104" w:name="_Toc85267438"/>
      <w:bookmarkStart w:id="105" w:name="_Toc85251589"/>
      <w:bookmarkStart w:id="106" w:name="_Toc85251498"/>
      <w:bookmarkStart w:id="107" w:name="_Toc84995643"/>
      <w:bookmarkStart w:id="108" w:name="_Toc85597587"/>
      <w:r>
        <w:rPr>
          <w:rFonts w:ascii="宋体" w:hAnsi="宋体" w:eastAsia="宋体"/>
          <w:b/>
          <w:color w:val="auto"/>
          <w:sz w:val="30"/>
          <w:szCs w:val="30"/>
        </w:rPr>
        <w:br w:type="page"/>
      </w:r>
      <w:bookmarkStart w:id="109" w:name="_Toc150262769"/>
      <w:r>
        <w:rPr>
          <w:rFonts w:hint="eastAsia" w:ascii="宋体" w:hAnsi="宋体" w:eastAsia="宋体"/>
          <w:b/>
          <w:color w:val="auto"/>
          <w:kern w:val="30"/>
          <w:sz w:val="30"/>
          <w:szCs w:val="30"/>
        </w:rPr>
        <w:t>2建设项目</w:t>
      </w:r>
      <w:bookmarkEnd w:id="91"/>
      <w:bookmarkEnd w:id="92"/>
      <w:bookmarkEnd w:id="93"/>
      <w:bookmarkEnd w:id="94"/>
      <w:bookmarkEnd w:id="95"/>
      <w:bookmarkEnd w:id="96"/>
      <w:bookmarkEnd w:id="97"/>
      <w:bookmarkEnd w:id="98"/>
      <w:r>
        <w:rPr>
          <w:rFonts w:hint="eastAsia" w:ascii="宋体" w:hAnsi="宋体" w:eastAsia="宋体"/>
          <w:b/>
          <w:color w:val="auto"/>
          <w:kern w:val="30"/>
          <w:sz w:val="30"/>
          <w:szCs w:val="30"/>
        </w:rPr>
        <w:t>概述</w:t>
      </w:r>
      <w:bookmarkEnd w:id="109"/>
    </w:p>
    <w:bookmarkEnd w:id="99"/>
    <w:bookmarkEnd w:id="100"/>
    <w:bookmarkEnd w:id="101"/>
    <w:bookmarkEnd w:id="102"/>
    <w:bookmarkEnd w:id="103"/>
    <w:bookmarkEnd w:id="104"/>
    <w:bookmarkEnd w:id="105"/>
    <w:bookmarkEnd w:id="106"/>
    <w:bookmarkEnd w:id="107"/>
    <w:bookmarkEnd w:id="108"/>
    <w:p>
      <w:pPr>
        <w:pStyle w:val="4"/>
        <w:keepLines w:val="0"/>
        <w:widowControl/>
        <w:spacing w:before="120" w:after="120" w:line="500" w:lineRule="exact"/>
        <w:rPr>
          <w:rFonts w:ascii="宋体" w:hAnsi="宋体" w:eastAsia="宋体"/>
          <w:b/>
          <w:bCs w:val="0"/>
          <w:color w:val="auto"/>
          <w:kern w:val="28"/>
          <w:sz w:val="28"/>
          <w:szCs w:val="28"/>
        </w:rPr>
      </w:pPr>
      <w:bookmarkStart w:id="110" w:name="_Toc156811362"/>
      <w:bookmarkStart w:id="111" w:name="_Toc198106904"/>
      <w:bookmarkStart w:id="112" w:name="_Toc233881327"/>
      <w:bookmarkStart w:id="113" w:name="_Toc149559784"/>
      <w:bookmarkStart w:id="114" w:name="_Toc158167836"/>
      <w:bookmarkStart w:id="115" w:name="_Toc109632301"/>
      <w:bookmarkStart w:id="116" w:name="_Toc158167949"/>
      <w:bookmarkStart w:id="117" w:name="_Toc168484300"/>
      <w:bookmarkStart w:id="118" w:name="_Toc150262770"/>
      <w:r>
        <w:rPr>
          <w:rFonts w:hint="eastAsia" w:ascii="宋体" w:hAnsi="宋体" w:eastAsia="宋体"/>
          <w:b/>
          <w:bCs w:val="0"/>
          <w:color w:val="auto"/>
          <w:kern w:val="28"/>
          <w:sz w:val="28"/>
          <w:szCs w:val="28"/>
        </w:rPr>
        <w:t>2.1建设单位</w:t>
      </w:r>
      <w:bookmarkEnd w:id="110"/>
      <w:bookmarkEnd w:id="111"/>
      <w:bookmarkEnd w:id="112"/>
      <w:bookmarkEnd w:id="113"/>
      <w:bookmarkEnd w:id="114"/>
      <w:bookmarkEnd w:id="115"/>
      <w:bookmarkEnd w:id="116"/>
      <w:bookmarkEnd w:id="117"/>
      <w:r>
        <w:rPr>
          <w:rFonts w:hint="eastAsia" w:ascii="宋体" w:hAnsi="宋体" w:eastAsia="宋体"/>
          <w:b/>
          <w:bCs w:val="0"/>
          <w:color w:val="auto"/>
          <w:kern w:val="28"/>
          <w:sz w:val="28"/>
          <w:szCs w:val="28"/>
        </w:rPr>
        <w:t>概况</w:t>
      </w:r>
      <w:bookmarkEnd w:id="118"/>
    </w:p>
    <w:p>
      <w:pPr>
        <w:pStyle w:val="5"/>
        <w:keepLines w:val="0"/>
        <w:widowControl/>
        <w:spacing w:before="120" w:after="120" w:line="500" w:lineRule="exact"/>
        <w:rPr>
          <w:rFonts w:ascii="宋体" w:hAnsi="宋体"/>
          <w:color w:val="auto"/>
          <w:kern w:val="28"/>
          <w:sz w:val="28"/>
          <w:szCs w:val="28"/>
        </w:rPr>
      </w:pPr>
      <w:r>
        <w:rPr>
          <w:rFonts w:ascii="宋体" w:hAnsi="宋体"/>
          <w:color w:val="auto"/>
          <w:kern w:val="28"/>
          <w:sz w:val="28"/>
          <w:szCs w:val="28"/>
        </w:rPr>
        <w:t>2.1.1</w:t>
      </w:r>
      <w:r>
        <w:rPr>
          <w:rFonts w:hint="eastAsia" w:ascii="宋体" w:hAnsi="宋体"/>
          <w:color w:val="auto"/>
          <w:kern w:val="28"/>
          <w:sz w:val="28"/>
          <w:szCs w:val="28"/>
        </w:rPr>
        <w:t>企业概况</w:t>
      </w:r>
    </w:p>
    <w:p>
      <w:pPr>
        <w:widowControl/>
        <w:spacing w:line="500" w:lineRule="exact"/>
        <w:ind w:firstLine="480" w:firstLineChars="200"/>
        <w:rPr>
          <w:rFonts w:ascii="宋体" w:hAnsi="宋体"/>
          <w:bCs/>
          <w:color w:val="auto"/>
          <w:kern w:val="24"/>
          <w:sz w:val="24"/>
        </w:rPr>
      </w:pPr>
      <w:r>
        <w:rPr>
          <w:rFonts w:hint="eastAsia" w:ascii="宋体" w:hAnsi="宋体"/>
          <w:bCs/>
          <w:color w:val="auto"/>
          <w:kern w:val="24"/>
          <w:sz w:val="24"/>
        </w:rPr>
        <w:t>军营高岭土矿分公司</w:t>
      </w:r>
      <w:r>
        <w:rPr>
          <w:rFonts w:ascii="宋体" w:hAnsi="宋体"/>
          <w:bCs/>
          <w:color w:val="auto"/>
          <w:kern w:val="24"/>
          <w:sz w:val="24"/>
        </w:rPr>
        <w:t>采矿权人为</w:t>
      </w:r>
      <w:r>
        <w:rPr>
          <w:rFonts w:hint="eastAsia" w:ascii="宋体" w:hAnsi="宋体"/>
          <w:bCs/>
          <w:color w:val="auto"/>
          <w:kern w:val="24"/>
          <w:sz w:val="24"/>
        </w:rPr>
        <w:t>兴宁市守元矿业有限公司，</w:t>
      </w:r>
      <w:r>
        <w:rPr>
          <w:rFonts w:ascii="宋体" w:hAnsi="宋体"/>
          <w:bCs/>
          <w:color w:val="auto"/>
          <w:kern w:val="24"/>
          <w:sz w:val="24"/>
        </w:rPr>
        <w:t>是一家开采</w:t>
      </w:r>
      <w:r>
        <w:rPr>
          <w:rFonts w:hint="eastAsia" w:ascii="宋体" w:hAnsi="宋体"/>
          <w:bCs/>
          <w:color w:val="auto"/>
          <w:kern w:val="24"/>
          <w:sz w:val="24"/>
        </w:rPr>
        <w:t>高岭土的矿山</w:t>
      </w:r>
      <w:r>
        <w:rPr>
          <w:rFonts w:ascii="宋体" w:hAnsi="宋体"/>
          <w:bCs/>
          <w:color w:val="auto"/>
          <w:kern w:val="24"/>
          <w:sz w:val="24"/>
        </w:rPr>
        <w:t>企业，行政区划隶属</w:t>
      </w:r>
      <w:r>
        <w:rPr>
          <w:rFonts w:hint="eastAsia" w:ascii="宋体" w:hAnsi="宋体"/>
          <w:bCs/>
          <w:color w:val="auto"/>
          <w:kern w:val="24"/>
          <w:sz w:val="24"/>
        </w:rPr>
        <w:t>梅州市兴宁市新圩镇管辖</w:t>
      </w:r>
      <w:r>
        <w:rPr>
          <w:rFonts w:ascii="宋体" w:hAnsi="宋体"/>
          <w:bCs/>
          <w:color w:val="auto"/>
          <w:kern w:val="24"/>
          <w:sz w:val="24"/>
        </w:rPr>
        <w:t>。</w:t>
      </w:r>
    </w:p>
    <w:p>
      <w:pPr>
        <w:widowControl/>
        <w:spacing w:line="500" w:lineRule="exact"/>
        <w:ind w:firstLine="480" w:firstLineChars="200"/>
        <w:rPr>
          <w:rFonts w:ascii="宋体" w:hAnsi="宋体"/>
          <w:bCs/>
          <w:color w:val="auto"/>
          <w:kern w:val="24"/>
          <w:sz w:val="24"/>
          <w:lang w:bidi="en-US"/>
        </w:rPr>
      </w:pPr>
      <w:r>
        <w:rPr>
          <w:rFonts w:hint="eastAsia" w:ascii="宋体" w:hAnsi="宋体"/>
          <w:bCs/>
          <w:color w:val="auto"/>
          <w:kern w:val="24"/>
          <w:sz w:val="24"/>
          <w:lang w:bidi="en-US"/>
        </w:rPr>
        <w:t>兴宁市守元矿业有限公司于2023年4月13日取得兴宁市市场监督管理局核发的《营业执照》，统一社会信用代码：914414816771261589 ；法定代表人：廖放东；类型：有限责任公司（自然人投资或控股的法人独资）；成立日期：2008年7月23日；企业住所：兴宁市新圩镇石崖村S225线竹塘尾；经营范围：许可项目：非煤矿山矿产资源开采。（依法须经批准的项目，经相关部门批准后方可开展经营活动，具体经营项目以相关部门批准文件或许可证件为准）一般项目：非金属矿及制品销售；金属矿石销售；选矿；非金属废料和碎屑加工处理；矿物洗选加工；稀土功能材料销售；新型陶瓷材料销售；非金属矿物制品制造。（除依法须经批准的项目外，凭营业执照依法自主开展经营活动）。</w:t>
      </w:r>
    </w:p>
    <w:p>
      <w:pPr>
        <w:widowControl/>
        <w:spacing w:line="500" w:lineRule="exact"/>
        <w:ind w:firstLine="480" w:firstLineChars="200"/>
        <w:rPr>
          <w:rFonts w:ascii="宋体" w:hAnsi="宋体"/>
          <w:color w:val="auto"/>
          <w:kern w:val="24"/>
          <w:sz w:val="24"/>
        </w:rPr>
      </w:pPr>
      <w:r>
        <w:rPr>
          <w:rFonts w:hint="eastAsia" w:ascii="宋体" w:hAnsi="宋体"/>
          <w:bCs/>
          <w:color w:val="auto"/>
          <w:kern w:val="24"/>
          <w:sz w:val="24"/>
          <w:lang w:bidi="en-US"/>
        </w:rPr>
        <w:t>矿山于2023年9月21日取得兴宁市自然资源局核发的《采矿许可证》，证号：C4414812014087130135349；开采矿种：高岭土，开采方式：露天开采，生产规模：5万吨/年，矿区面积：0.1522km</w:t>
      </w:r>
      <w:r>
        <w:rPr>
          <w:rFonts w:hint="eastAsia" w:ascii="宋体" w:hAnsi="宋体"/>
          <w:bCs/>
          <w:color w:val="auto"/>
          <w:kern w:val="24"/>
          <w:sz w:val="24"/>
          <w:vertAlign w:val="superscript"/>
          <w:lang w:bidi="en-US"/>
        </w:rPr>
        <w:t>2</w:t>
      </w:r>
      <w:r>
        <w:rPr>
          <w:rFonts w:hint="eastAsia" w:ascii="宋体" w:hAnsi="宋体"/>
          <w:bCs/>
          <w:color w:val="auto"/>
          <w:kern w:val="24"/>
          <w:sz w:val="24"/>
          <w:lang w:bidi="en-US"/>
        </w:rPr>
        <w:t>，允许</w:t>
      </w:r>
      <w:r>
        <w:rPr>
          <w:rFonts w:ascii="宋体" w:hAnsi="宋体"/>
          <w:bCs/>
          <w:color w:val="auto"/>
          <w:kern w:val="24"/>
          <w:sz w:val="24"/>
          <w:lang w:bidi="en-US"/>
        </w:rPr>
        <w:t>开采</w:t>
      </w:r>
      <w:r>
        <w:rPr>
          <w:rFonts w:hint="eastAsia" w:ascii="宋体" w:hAnsi="宋体"/>
          <w:bCs/>
          <w:color w:val="auto"/>
          <w:kern w:val="24"/>
          <w:sz w:val="24"/>
          <w:lang w:bidi="en-US"/>
        </w:rPr>
        <w:t>标高+375m～+250m；有效期限2023年8月29日至2028年8月29日。</w:t>
      </w:r>
    </w:p>
    <w:p>
      <w:pPr>
        <w:widowControl/>
        <w:spacing w:line="500" w:lineRule="exact"/>
        <w:ind w:firstLine="480" w:firstLineChars="200"/>
        <w:rPr>
          <w:rFonts w:ascii="宋体" w:hAnsi="宋体"/>
          <w:color w:val="auto"/>
          <w:sz w:val="24"/>
        </w:rPr>
      </w:pPr>
      <w:r>
        <w:rPr>
          <w:rFonts w:hint="eastAsia" w:ascii="宋体" w:hAnsi="宋体"/>
          <w:color w:val="auto"/>
          <w:sz w:val="24"/>
        </w:rPr>
        <w:t>兴宁市守元矿业有限公司军营高岭土矿分公司于2023年</w:t>
      </w:r>
      <w:r>
        <w:rPr>
          <w:rFonts w:ascii="宋体" w:hAnsi="宋体"/>
          <w:color w:val="auto"/>
          <w:sz w:val="24"/>
        </w:rPr>
        <w:t>7</w:t>
      </w:r>
      <w:r>
        <w:rPr>
          <w:rFonts w:hint="eastAsia" w:ascii="宋体" w:hAnsi="宋体"/>
          <w:color w:val="auto"/>
          <w:sz w:val="24"/>
        </w:rPr>
        <w:t>月编制了《兴宁市守元矿业有限公司军营高岭土矿分公司扩建年产5万立方米高岭土露天开采项目可行性研究报告》。</w:t>
      </w:r>
    </w:p>
    <w:p>
      <w:pPr>
        <w:pStyle w:val="5"/>
        <w:keepLines w:val="0"/>
        <w:widowControl/>
        <w:spacing w:before="120" w:after="120" w:line="500" w:lineRule="exact"/>
        <w:rPr>
          <w:rFonts w:ascii="宋体" w:hAnsi="宋体"/>
          <w:color w:val="auto"/>
          <w:kern w:val="28"/>
          <w:sz w:val="28"/>
          <w:szCs w:val="28"/>
        </w:rPr>
      </w:pPr>
      <w:r>
        <w:rPr>
          <w:rFonts w:ascii="宋体" w:hAnsi="宋体"/>
          <w:color w:val="auto"/>
          <w:kern w:val="28"/>
          <w:sz w:val="28"/>
          <w:szCs w:val="28"/>
        </w:rPr>
        <w:t>2.1.2</w:t>
      </w:r>
      <w:r>
        <w:rPr>
          <w:rFonts w:hint="eastAsia" w:ascii="宋体" w:hAnsi="宋体"/>
          <w:color w:val="auto"/>
          <w:kern w:val="28"/>
          <w:sz w:val="28"/>
          <w:szCs w:val="28"/>
        </w:rPr>
        <w:t>地理位置及交通</w:t>
      </w:r>
    </w:p>
    <w:p>
      <w:pPr>
        <w:widowControl/>
        <w:spacing w:line="500" w:lineRule="exact"/>
        <w:ind w:firstLine="480" w:firstLineChars="200"/>
        <w:rPr>
          <w:rFonts w:ascii="宋体" w:hAnsi="宋体"/>
          <w:color w:val="auto"/>
          <w:sz w:val="24"/>
        </w:rPr>
      </w:pPr>
      <w:r>
        <w:rPr>
          <w:rFonts w:hint="eastAsia" w:ascii="宋体" w:hAnsi="宋体"/>
          <w:color w:val="auto"/>
          <w:sz w:val="24"/>
        </w:rPr>
        <w:t>矿区</w:t>
      </w:r>
      <w:r>
        <w:rPr>
          <w:rFonts w:ascii="宋体" w:hAnsi="宋体"/>
          <w:color w:val="auto"/>
          <w:sz w:val="24"/>
        </w:rPr>
        <w:t>兴宁市146°方向，直距约31.0km，属兴宁市水口镇管辖。矿区范围地理坐标：东经115°54′34″～115°54′51″，北纬23°54′28″～23°54′45″，面积0.152km</w:t>
      </w:r>
      <w:r>
        <w:rPr>
          <w:rFonts w:ascii="宋体" w:hAnsi="宋体"/>
          <w:color w:val="auto"/>
          <w:sz w:val="24"/>
          <w:vertAlign w:val="superscript"/>
        </w:rPr>
        <w:t>2</w:t>
      </w:r>
      <w:r>
        <w:rPr>
          <w:rFonts w:ascii="宋体" w:hAnsi="宋体"/>
          <w:color w:val="auto"/>
          <w:sz w:val="24"/>
        </w:rPr>
        <w:t>。矿区有一简易公路约10km到兴宁市水口镇，水口镇往北约25km到兴宁市与国道205相通，往东约10km与国道206相通，交通极为便利</w:t>
      </w:r>
      <w:r>
        <w:rPr>
          <w:rFonts w:hint="eastAsia" w:ascii="宋体" w:hAnsi="宋体"/>
          <w:color w:val="auto"/>
          <w:sz w:val="24"/>
        </w:rPr>
        <w:t>，详见下图</w:t>
      </w:r>
      <w:r>
        <w:rPr>
          <w:rFonts w:ascii="宋体" w:hAnsi="宋体"/>
          <w:color w:val="auto"/>
          <w:sz w:val="24"/>
        </w:rPr>
        <w:t>。</w:t>
      </w:r>
    </w:p>
    <w:p>
      <w:pPr>
        <w:adjustRightInd w:val="0"/>
        <w:snapToGrid w:val="0"/>
        <w:jc w:val="center"/>
        <w:rPr>
          <w:rFonts w:ascii="宋体" w:hAnsi="宋体"/>
          <w:color w:val="auto"/>
          <w:sz w:val="28"/>
          <w:szCs w:val="28"/>
        </w:rPr>
      </w:pPr>
      <w:r>
        <w:rPr>
          <w:color w:val="auto"/>
          <w:sz w:val="28"/>
          <w:szCs w:val="28"/>
        </w:rPr>
        <w:drawing>
          <wp:inline distT="0" distB="0" distL="0" distR="0">
            <wp:extent cx="4699000" cy="3733800"/>
            <wp:effectExtent l="0" t="0" r="0" b="0"/>
            <wp:docPr id="1" name="图片 1" descr="未标题-1"/>
            <wp:cNvGraphicFramePr/>
            <a:graphic xmlns:a="http://schemas.openxmlformats.org/drawingml/2006/main">
              <a:graphicData uri="http://schemas.openxmlformats.org/drawingml/2006/picture">
                <pic:pic xmlns:pic="http://schemas.openxmlformats.org/drawingml/2006/picture">
                  <pic:nvPicPr>
                    <pic:cNvPr id="1" name="图片 1" descr="未标题-1"/>
                    <pic:cNvPicPr/>
                  </pic:nvPicPr>
                  <pic:blipFill>
                    <a:blip r:embed="rId14">
                      <a:extLst>
                        <a:ext uri="{28A0092B-C50C-407E-A947-70E740481C1C}">
                          <a14:useLocalDpi xmlns:a14="http://schemas.microsoft.com/office/drawing/2010/main" val="0"/>
                        </a:ext>
                      </a:extLst>
                    </a:blip>
                    <a:srcRect/>
                    <a:stretch>
                      <a:fillRect/>
                    </a:stretch>
                  </pic:blipFill>
                  <pic:spPr>
                    <a:xfrm>
                      <a:off x="0" y="0"/>
                      <a:ext cx="4699000" cy="3733800"/>
                    </a:xfrm>
                    <a:prstGeom prst="rect">
                      <a:avLst/>
                    </a:prstGeom>
                    <a:noFill/>
                    <a:ln>
                      <a:noFill/>
                    </a:ln>
                    <a:effectLst/>
                  </pic:spPr>
                </pic:pic>
              </a:graphicData>
            </a:graphic>
          </wp:inline>
        </w:drawing>
      </w:r>
    </w:p>
    <w:p>
      <w:pPr>
        <w:widowControl/>
        <w:jc w:val="center"/>
        <w:outlineLvl w:val="4"/>
        <w:rPr>
          <w:color w:val="auto"/>
        </w:rPr>
      </w:pPr>
      <w:r>
        <w:rPr>
          <w:rFonts w:ascii="宋体" w:hAnsi="宋体"/>
          <w:b/>
          <w:bCs/>
          <w:color w:val="auto"/>
          <w:kern w:val="24"/>
          <w:sz w:val="24"/>
        </w:rPr>
        <w:t>图2-1 交通位置图</w:t>
      </w:r>
    </w:p>
    <w:p>
      <w:pPr>
        <w:pStyle w:val="5"/>
        <w:keepLines w:val="0"/>
        <w:widowControl/>
        <w:spacing w:before="120" w:after="120" w:line="500" w:lineRule="exact"/>
        <w:rPr>
          <w:rFonts w:ascii="宋体" w:hAnsi="宋体"/>
          <w:color w:val="auto"/>
          <w:kern w:val="28"/>
          <w:sz w:val="28"/>
          <w:szCs w:val="28"/>
        </w:rPr>
      </w:pPr>
      <w:r>
        <w:rPr>
          <w:rFonts w:ascii="宋体" w:hAnsi="宋体"/>
          <w:color w:val="auto"/>
          <w:kern w:val="28"/>
          <w:sz w:val="28"/>
          <w:szCs w:val="28"/>
        </w:rPr>
        <w:t>2.1.3</w:t>
      </w:r>
      <w:r>
        <w:rPr>
          <w:rFonts w:hint="eastAsia" w:ascii="宋体" w:hAnsi="宋体"/>
          <w:color w:val="auto"/>
          <w:kern w:val="28"/>
          <w:sz w:val="28"/>
          <w:szCs w:val="28"/>
        </w:rPr>
        <w:t>周边环境</w:t>
      </w:r>
    </w:p>
    <w:p>
      <w:pPr>
        <w:widowControl/>
        <w:spacing w:line="500" w:lineRule="exact"/>
        <w:ind w:firstLine="480" w:firstLineChars="200"/>
        <w:rPr>
          <w:rFonts w:ascii="宋体" w:hAnsi="宋体"/>
          <w:color w:val="auto"/>
          <w:sz w:val="24"/>
        </w:rPr>
      </w:pPr>
      <w:r>
        <w:rPr>
          <w:rFonts w:ascii="宋体" w:hAnsi="宋体"/>
          <w:color w:val="auto"/>
          <w:sz w:val="24"/>
        </w:rPr>
        <w:t>在矿山开采影响范围内无大的河流、水库等地表水体。矿区范围内汇水量与降雨相关，矿区地形有利于自然排水。</w:t>
      </w:r>
    </w:p>
    <w:p>
      <w:pPr>
        <w:widowControl/>
        <w:spacing w:line="500" w:lineRule="exact"/>
        <w:ind w:firstLine="480" w:firstLineChars="200"/>
        <w:rPr>
          <w:rFonts w:ascii="宋体" w:hAnsi="宋体"/>
          <w:color w:val="auto"/>
          <w:sz w:val="24"/>
        </w:rPr>
      </w:pPr>
      <w:r>
        <w:rPr>
          <w:rFonts w:hint="eastAsia" w:ascii="宋体" w:hAnsi="宋体"/>
          <w:color w:val="auto"/>
          <w:sz w:val="24"/>
        </w:rPr>
        <w:t>矿区地理位置较为隐僻，矿区东部、南部、西部均为山坡地，北部约8</w:t>
      </w:r>
      <w:r>
        <w:rPr>
          <w:rFonts w:ascii="宋体" w:hAnsi="宋体"/>
          <w:color w:val="auto"/>
          <w:sz w:val="24"/>
        </w:rPr>
        <w:t>0</w:t>
      </w:r>
      <w:r>
        <w:rPr>
          <w:rFonts w:hint="eastAsia" w:ascii="宋体" w:hAnsi="宋体"/>
          <w:color w:val="auto"/>
          <w:sz w:val="24"/>
        </w:rPr>
        <w:t>m有几户居民点，约200m处有一条由西向北东流的小山沟，山沟平时有小流量的泉水流淌，遇降水时流量增大。周边500m范围内无工矿企业、外部输电线路、大型水源地、重点保护名胜古迹、铁路及重要公路或桥梁。</w:t>
      </w:r>
    </w:p>
    <w:p>
      <w:pPr>
        <w:pStyle w:val="4"/>
        <w:keepLines w:val="0"/>
        <w:widowControl/>
        <w:spacing w:before="120" w:after="120" w:line="500" w:lineRule="exact"/>
        <w:rPr>
          <w:rFonts w:ascii="宋体" w:hAnsi="宋体" w:eastAsia="宋体"/>
          <w:b/>
          <w:bCs w:val="0"/>
          <w:color w:val="auto"/>
          <w:kern w:val="28"/>
          <w:sz w:val="28"/>
          <w:szCs w:val="28"/>
        </w:rPr>
      </w:pPr>
      <w:bookmarkStart w:id="119" w:name="_Toc194551638"/>
      <w:bookmarkStart w:id="120" w:name="_Toc194481346"/>
      <w:bookmarkStart w:id="121" w:name="_Toc193789357"/>
      <w:bookmarkStart w:id="122" w:name="_Toc193792447"/>
      <w:bookmarkStart w:id="123" w:name="_Toc193792556"/>
      <w:bookmarkStart w:id="124" w:name="_Toc233881329"/>
      <w:bookmarkStart w:id="125" w:name="_Toc150262771"/>
      <w:bookmarkStart w:id="126" w:name="_Toc125175210"/>
      <w:bookmarkStart w:id="127" w:name="_Toc125175311"/>
      <w:bookmarkStart w:id="128" w:name="_Toc138748273"/>
      <w:bookmarkStart w:id="129" w:name="_Toc138748468"/>
      <w:bookmarkStart w:id="130" w:name="_Toc141526925"/>
      <w:bookmarkStart w:id="131" w:name="_Toc138748695"/>
      <w:bookmarkStart w:id="132" w:name="_Toc141582218"/>
      <w:r>
        <w:rPr>
          <w:rFonts w:hint="eastAsia" w:ascii="宋体" w:hAnsi="宋体" w:eastAsia="宋体"/>
          <w:b/>
          <w:bCs w:val="0"/>
          <w:color w:val="auto"/>
          <w:kern w:val="28"/>
          <w:sz w:val="28"/>
          <w:szCs w:val="28"/>
        </w:rPr>
        <w:t>2.2自然</w:t>
      </w:r>
      <w:bookmarkEnd w:id="119"/>
      <w:bookmarkEnd w:id="120"/>
      <w:bookmarkEnd w:id="121"/>
      <w:bookmarkEnd w:id="122"/>
      <w:bookmarkEnd w:id="123"/>
      <w:bookmarkEnd w:id="124"/>
      <w:r>
        <w:rPr>
          <w:rFonts w:hint="eastAsia" w:ascii="宋体" w:hAnsi="宋体" w:eastAsia="宋体"/>
          <w:b/>
          <w:bCs w:val="0"/>
          <w:color w:val="auto"/>
          <w:kern w:val="28"/>
          <w:sz w:val="28"/>
          <w:szCs w:val="28"/>
        </w:rPr>
        <w:t>环境概况</w:t>
      </w:r>
      <w:bookmarkEnd w:id="125"/>
    </w:p>
    <w:p>
      <w:pPr>
        <w:widowControl/>
        <w:spacing w:line="500" w:lineRule="exact"/>
        <w:ind w:firstLine="480" w:firstLineChars="200"/>
        <w:rPr>
          <w:rFonts w:ascii="宋体" w:hAnsi="宋体"/>
          <w:bCs/>
          <w:color w:val="auto"/>
          <w:sz w:val="24"/>
          <w:lang w:bidi="en-US"/>
        </w:rPr>
      </w:pPr>
      <w:bookmarkStart w:id="133" w:name="_Toc233881337"/>
      <w:r>
        <w:rPr>
          <w:rFonts w:hint="eastAsia" w:ascii="宋体" w:hAnsi="宋体"/>
          <w:bCs/>
          <w:color w:val="auto"/>
          <w:sz w:val="24"/>
          <w:lang w:bidi="en-US"/>
        </w:rPr>
        <w:t>1）区域地理概况</w:t>
      </w:r>
    </w:p>
    <w:p>
      <w:pPr>
        <w:widowControl/>
        <w:spacing w:line="500" w:lineRule="exact"/>
        <w:ind w:firstLine="480" w:firstLineChars="200"/>
        <w:rPr>
          <w:rFonts w:ascii="宋体" w:hAnsi="宋体"/>
          <w:bCs/>
          <w:color w:val="auto"/>
          <w:sz w:val="24"/>
          <w:lang w:bidi="en-US"/>
        </w:rPr>
      </w:pPr>
      <w:r>
        <w:rPr>
          <w:rFonts w:hint="eastAsia" w:ascii="宋体" w:hAnsi="宋体"/>
          <w:bCs/>
          <w:color w:val="auto"/>
          <w:sz w:val="24"/>
          <w:lang w:bidi="en-US"/>
        </w:rPr>
        <w:t>兴宁位于广东省东北部,地形地貌复杂,四面环山,北部有南岭山脉,南部有莲花山脉,一江始北向南交汇流入梅江,形成了一个典型的内陆盆地。</w:t>
      </w:r>
    </w:p>
    <w:p>
      <w:pPr>
        <w:widowControl/>
        <w:spacing w:line="500" w:lineRule="exact"/>
        <w:ind w:firstLine="480" w:firstLineChars="200"/>
        <w:rPr>
          <w:rFonts w:ascii="宋体" w:hAnsi="宋体"/>
          <w:bCs/>
          <w:color w:val="auto"/>
          <w:sz w:val="24"/>
          <w:lang w:bidi="en-US"/>
        </w:rPr>
      </w:pPr>
      <w:r>
        <w:rPr>
          <w:rFonts w:hint="eastAsia" w:ascii="宋体" w:hAnsi="宋体"/>
          <w:bCs/>
          <w:color w:val="auto"/>
          <w:sz w:val="24"/>
          <w:lang w:bidi="en-US"/>
        </w:rPr>
        <w:t>矿区位于兴宁市境内，属丘陵地貌。地势西南高东北低，图幅内矿区周边最高峰海拔+475m，最低+175m。最大相对高差300m。</w:t>
      </w:r>
    </w:p>
    <w:p>
      <w:pPr>
        <w:widowControl/>
        <w:spacing w:line="500" w:lineRule="exact"/>
        <w:ind w:firstLine="480" w:firstLineChars="200"/>
        <w:rPr>
          <w:rFonts w:ascii="宋体" w:hAnsi="宋体"/>
          <w:bCs/>
          <w:color w:val="auto"/>
          <w:sz w:val="24"/>
          <w:lang w:bidi="en-US"/>
        </w:rPr>
      </w:pPr>
      <w:r>
        <w:rPr>
          <w:rFonts w:hint="eastAsia" w:ascii="宋体" w:hAnsi="宋体"/>
          <w:bCs/>
          <w:color w:val="auto"/>
          <w:sz w:val="24"/>
          <w:lang w:bidi="en-US"/>
        </w:rPr>
        <w:t>本区属亚热带季风气候，具有冷热悬殊、干湿季分明的气候特点，夏季炎热多雨，冬季寒冷干燥，有霜冻，年最高气温39.5℃，最低气温-2℃，1月均温11.4°C，7月均温28.5°C，年平均气温21℃左右；雨水多集中在4～9月，年降雨量在1400mm～1700mm之间，枯水期为10月至次年3月。年蒸发量1500mm，年均相对湿度65%。常见有春季的低温阴雨，晚秋的寒露风，夏秋时节的台风暴雨。</w:t>
      </w:r>
    </w:p>
    <w:p>
      <w:pPr>
        <w:widowControl/>
        <w:spacing w:line="500" w:lineRule="exact"/>
        <w:ind w:firstLine="480" w:firstLineChars="200"/>
        <w:rPr>
          <w:rFonts w:ascii="宋体" w:hAnsi="宋体"/>
          <w:bCs/>
          <w:color w:val="auto"/>
          <w:sz w:val="24"/>
          <w:lang w:bidi="en-US"/>
        </w:rPr>
      </w:pPr>
      <w:r>
        <w:rPr>
          <w:rFonts w:hint="eastAsia" w:ascii="宋体" w:hAnsi="宋体"/>
          <w:bCs/>
          <w:color w:val="auto"/>
          <w:sz w:val="24"/>
          <w:lang w:bidi="en-US"/>
        </w:rPr>
        <w:t>2）经济地理概况</w:t>
      </w:r>
    </w:p>
    <w:p>
      <w:pPr>
        <w:widowControl/>
        <w:spacing w:line="500" w:lineRule="exact"/>
        <w:ind w:firstLine="480" w:firstLineChars="200"/>
        <w:rPr>
          <w:rFonts w:ascii="宋体" w:hAnsi="宋体"/>
          <w:bCs/>
          <w:color w:val="auto"/>
          <w:sz w:val="24"/>
          <w:lang w:bidi="en-US"/>
        </w:rPr>
      </w:pPr>
      <w:r>
        <w:rPr>
          <w:rFonts w:hint="eastAsia" w:ascii="宋体" w:hAnsi="宋体"/>
          <w:bCs/>
          <w:color w:val="auto"/>
          <w:sz w:val="24"/>
          <w:lang w:bidi="en-US"/>
        </w:rPr>
        <w:t>本区粮食作物以水稻、番薯为主。经济作物有甘蔗、花生、木薯、黄豆、茶叶、烤烟和水果等。境内资源丰富，矿产资源有煤、铁、锰、钛、钴、铜、硫、钨、铀、石膏、萤石、石灰石、高岭土等。</w:t>
      </w:r>
    </w:p>
    <w:p>
      <w:pPr>
        <w:widowControl/>
        <w:spacing w:line="500" w:lineRule="exact"/>
        <w:ind w:firstLine="480" w:firstLineChars="200"/>
        <w:rPr>
          <w:rFonts w:ascii="宋体" w:hAnsi="宋体"/>
          <w:color w:val="auto"/>
          <w:sz w:val="24"/>
        </w:rPr>
      </w:pPr>
      <w:r>
        <w:rPr>
          <w:rFonts w:hint="eastAsia" w:ascii="宋体" w:hAnsi="宋体"/>
          <w:bCs/>
          <w:color w:val="auto"/>
          <w:sz w:val="24"/>
          <w:lang w:bidi="en-US"/>
        </w:rPr>
        <w:t>当地居民主要为汉族，人口分布稠密，劳动力充裕，水电资源充盈，可供工农业生产、居民生活需求。</w:t>
      </w:r>
    </w:p>
    <w:p>
      <w:pPr>
        <w:pStyle w:val="4"/>
        <w:keepLines w:val="0"/>
        <w:widowControl/>
        <w:spacing w:before="120" w:after="120" w:line="500" w:lineRule="exact"/>
        <w:rPr>
          <w:rFonts w:ascii="宋体" w:hAnsi="宋体" w:eastAsia="宋体"/>
          <w:b/>
          <w:bCs w:val="0"/>
          <w:color w:val="auto"/>
          <w:kern w:val="28"/>
          <w:sz w:val="28"/>
          <w:szCs w:val="28"/>
        </w:rPr>
      </w:pPr>
      <w:bookmarkStart w:id="134" w:name="_Toc150262772"/>
      <w:r>
        <w:rPr>
          <w:rFonts w:hint="eastAsia" w:ascii="宋体" w:hAnsi="宋体" w:eastAsia="宋体"/>
          <w:b/>
          <w:bCs w:val="0"/>
          <w:color w:val="auto"/>
          <w:kern w:val="28"/>
          <w:sz w:val="28"/>
          <w:szCs w:val="28"/>
        </w:rPr>
        <w:t>2.3地质概况</w:t>
      </w:r>
      <w:bookmarkEnd w:id="133"/>
      <w:bookmarkEnd w:id="134"/>
    </w:p>
    <w:p>
      <w:pPr>
        <w:pStyle w:val="5"/>
        <w:keepLines w:val="0"/>
        <w:widowControl/>
        <w:spacing w:before="120" w:after="120" w:line="500" w:lineRule="exact"/>
        <w:rPr>
          <w:rFonts w:ascii="宋体" w:hAnsi="宋体"/>
          <w:color w:val="auto"/>
          <w:kern w:val="28"/>
          <w:sz w:val="28"/>
          <w:szCs w:val="28"/>
        </w:rPr>
      </w:pPr>
      <w:bookmarkStart w:id="135" w:name="_Toc158167965"/>
      <w:bookmarkStart w:id="136" w:name="_Toc158167852"/>
      <w:bookmarkStart w:id="137" w:name="_Toc213727810"/>
      <w:bookmarkStart w:id="138" w:name="_Toc233881341"/>
      <w:r>
        <w:rPr>
          <w:rFonts w:ascii="宋体" w:hAnsi="宋体"/>
          <w:color w:val="auto"/>
          <w:kern w:val="28"/>
          <w:sz w:val="28"/>
          <w:szCs w:val="28"/>
        </w:rPr>
        <w:t>2.3.1</w:t>
      </w:r>
      <w:r>
        <w:rPr>
          <w:rFonts w:hint="eastAsia" w:ascii="宋体" w:hAnsi="宋体"/>
          <w:color w:val="auto"/>
          <w:kern w:val="28"/>
          <w:sz w:val="28"/>
          <w:szCs w:val="28"/>
        </w:rPr>
        <w:t>区域地质概况</w:t>
      </w:r>
    </w:p>
    <w:p>
      <w:pPr>
        <w:widowControl/>
        <w:spacing w:line="500" w:lineRule="exact"/>
        <w:ind w:firstLine="480" w:firstLineChars="200"/>
        <w:rPr>
          <w:rFonts w:ascii="宋体" w:hAnsi="宋体"/>
          <w:bCs/>
          <w:color w:val="auto"/>
          <w:sz w:val="24"/>
        </w:rPr>
      </w:pPr>
      <w:r>
        <w:rPr>
          <w:rFonts w:hint="eastAsia" w:ascii="宋体" w:hAnsi="宋体"/>
          <w:bCs/>
          <w:color w:val="auto"/>
          <w:sz w:val="24"/>
        </w:rPr>
        <w:t>矿区位于华南褶皱系粤东隆起区的留隍火山岩盆地，地处莲花山NE向深断裂带与佛冈-丰良EW向断裂带交汇部位，区域上的构造-岩浆大面积出露。出露地层为一套海陆交互相碎屑沉积岩组成与陆相喷发的流纹质-英安质建造的酸性及中酸性火山碎屑岩、熔岩等构成，两者呈不整合接触。其岩性自下而上主要有：</w:t>
      </w:r>
    </w:p>
    <w:p>
      <w:pPr>
        <w:widowControl/>
        <w:spacing w:line="500" w:lineRule="exact"/>
        <w:ind w:firstLine="480" w:firstLineChars="200"/>
        <w:rPr>
          <w:rFonts w:ascii="宋体" w:hAnsi="宋体"/>
          <w:bCs/>
          <w:color w:val="auto"/>
          <w:sz w:val="24"/>
        </w:rPr>
      </w:pPr>
      <w:r>
        <w:rPr>
          <w:rFonts w:hint="eastAsia" w:ascii="宋体" w:hAnsi="宋体"/>
          <w:bCs/>
          <w:color w:val="auto"/>
          <w:sz w:val="24"/>
        </w:rPr>
        <w:t>上三叠统-下侏罗统蓝塘群（T</w:t>
      </w:r>
      <w:r>
        <w:rPr>
          <w:rFonts w:hint="eastAsia" w:ascii="宋体" w:hAnsi="宋体"/>
          <w:bCs/>
          <w:i/>
          <w:color w:val="auto"/>
          <w:sz w:val="24"/>
          <w:vertAlign w:val="subscript"/>
        </w:rPr>
        <w:t>3</w:t>
      </w:r>
      <w:r>
        <w:rPr>
          <w:rFonts w:hint="eastAsia" w:ascii="宋体" w:hAnsi="宋体"/>
          <w:bCs/>
          <w:color w:val="auto"/>
          <w:sz w:val="24"/>
        </w:rPr>
        <w:t>-J</w:t>
      </w:r>
      <w:r>
        <w:rPr>
          <w:rFonts w:hint="eastAsia" w:ascii="宋体" w:hAnsi="宋体"/>
          <w:bCs/>
          <w:i/>
          <w:color w:val="auto"/>
          <w:sz w:val="24"/>
          <w:vertAlign w:val="subscript"/>
        </w:rPr>
        <w:t>1</w:t>
      </w:r>
      <w:r>
        <w:rPr>
          <w:rFonts w:hint="eastAsia" w:ascii="宋体" w:hAnsi="宋体"/>
          <w:bCs/>
          <w:i/>
          <w:color w:val="auto"/>
          <w:sz w:val="24"/>
        </w:rPr>
        <w:t>l</w:t>
      </w:r>
      <w:r>
        <w:rPr>
          <w:rFonts w:hint="eastAsia" w:ascii="宋体" w:hAnsi="宋体"/>
          <w:bCs/>
          <w:color w:val="auto"/>
          <w:sz w:val="24"/>
        </w:rPr>
        <w:t>）：岩性主要为灰白色-灰色或深灰色砂岩、粉砂岩和泥岩、砂质页岩。</w:t>
      </w:r>
    </w:p>
    <w:p>
      <w:pPr>
        <w:widowControl/>
        <w:spacing w:line="500" w:lineRule="exact"/>
        <w:ind w:firstLine="480" w:firstLineChars="200"/>
        <w:rPr>
          <w:rFonts w:ascii="宋体" w:hAnsi="宋体"/>
          <w:bCs/>
          <w:color w:val="auto"/>
          <w:sz w:val="24"/>
        </w:rPr>
      </w:pPr>
      <w:r>
        <w:rPr>
          <w:rFonts w:hint="eastAsia" w:ascii="宋体" w:hAnsi="宋体"/>
          <w:bCs/>
          <w:color w:val="auto"/>
          <w:sz w:val="24"/>
        </w:rPr>
        <w:t>早侏罗世长埔组（J</w:t>
      </w:r>
      <w:r>
        <w:rPr>
          <w:rFonts w:hint="eastAsia" w:ascii="宋体" w:hAnsi="宋体"/>
          <w:bCs/>
          <w:color w:val="auto"/>
          <w:sz w:val="24"/>
          <w:vertAlign w:val="subscript"/>
        </w:rPr>
        <w:t>1</w:t>
      </w:r>
      <w:r>
        <w:rPr>
          <w:rFonts w:hint="eastAsia" w:ascii="宋体" w:hAnsi="宋体"/>
          <w:bCs/>
          <w:i/>
          <w:color w:val="auto"/>
          <w:sz w:val="24"/>
        </w:rPr>
        <w:t>ch</w:t>
      </w:r>
      <w:r>
        <w:rPr>
          <w:rFonts w:hint="eastAsia" w:ascii="宋体" w:hAnsi="宋体"/>
          <w:bCs/>
          <w:color w:val="auto"/>
          <w:sz w:val="24"/>
        </w:rPr>
        <w:t>）：厚层状细粒长石石英砂岩夹石英砂岩、粉砂岩底部夹砾岩和泥岩。</w:t>
      </w:r>
    </w:p>
    <w:p>
      <w:pPr>
        <w:widowControl/>
        <w:spacing w:line="500" w:lineRule="exact"/>
        <w:ind w:firstLine="480" w:firstLineChars="200"/>
        <w:rPr>
          <w:rFonts w:ascii="宋体" w:hAnsi="宋体"/>
          <w:bCs/>
          <w:color w:val="auto"/>
          <w:sz w:val="24"/>
        </w:rPr>
      </w:pPr>
      <w:r>
        <w:rPr>
          <w:rFonts w:hint="eastAsia" w:ascii="宋体" w:hAnsi="宋体"/>
          <w:bCs/>
          <w:color w:val="auto"/>
          <w:sz w:val="24"/>
        </w:rPr>
        <w:t>下-中侏罗统桥源组（J</w:t>
      </w:r>
      <w:r>
        <w:rPr>
          <w:rFonts w:hint="eastAsia" w:ascii="宋体" w:hAnsi="宋体"/>
          <w:bCs/>
          <w:i/>
          <w:color w:val="auto"/>
          <w:sz w:val="24"/>
          <w:vertAlign w:val="subscript"/>
        </w:rPr>
        <w:t>1-2qy</w:t>
      </w:r>
      <w:r>
        <w:rPr>
          <w:rFonts w:hint="eastAsia" w:ascii="宋体" w:hAnsi="宋体"/>
          <w:bCs/>
          <w:color w:val="auto"/>
          <w:sz w:val="24"/>
        </w:rPr>
        <w:t>）：岩性主要为灰黑色中细粒长石石英砂岩、粉砂岩和泥岩互层，夹少量粗砂岩。</w:t>
      </w:r>
    </w:p>
    <w:p>
      <w:pPr>
        <w:widowControl/>
        <w:spacing w:line="500" w:lineRule="exact"/>
        <w:ind w:firstLine="480" w:firstLineChars="200"/>
        <w:rPr>
          <w:rFonts w:ascii="宋体" w:hAnsi="宋体"/>
          <w:bCs/>
          <w:color w:val="auto"/>
          <w:sz w:val="24"/>
        </w:rPr>
      </w:pPr>
      <w:r>
        <w:rPr>
          <w:rFonts w:hint="eastAsia" w:ascii="宋体" w:hAnsi="宋体"/>
          <w:bCs/>
          <w:color w:val="auto"/>
          <w:sz w:val="24"/>
        </w:rPr>
        <w:t>中侏罗统漳坪群（J</w:t>
      </w:r>
      <w:r>
        <w:rPr>
          <w:rFonts w:hint="eastAsia" w:ascii="宋体" w:hAnsi="宋体"/>
          <w:bCs/>
          <w:i/>
          <w:color w:val="auto"/>
          <w:sz w:val="24"/>
          <w:vertAlign w:val="subscript"/>
        </w:rPr>
        <w:t>2zh</w:t>
      </w:r>
      <w:r>
        <w:rPr>
          <w:rFonts w:hint="eastAsia" w:ascii="宋体" w:hAnsi="宋体"/>
          <w:bCs/>
          <w:color w:val="auto"/>
          <w:sz w:val="24"/>
        </w:rPr>
        <w:t>）：岩性主要为紫红、灰白、灰绿色砂岩、粉砂岩和泥岩，夹少量含砾砂岩和砂砾岩。</w:t>
      </w:r>
    </w:p>
    <w:p>
      <w:pPr>
        <w:widowControl/>
        <w:spacing w:line="500" w:lineRule="exact"/>
        <w:ind w:firstLine="480" w:firstLineChars="200"/>
        <w:rPr>
          <w:rFonts w:ascii="宋体" w:hAnsi="宋体"/>
          <w:bCs/>
          <w:color w:val="auto"/>
          <w:sz w:val="24"/>
        </w:rPr>
      </w:pPr>
      <w:r>
        <w:rPr>
          <w:rFonts w:hint="eastAsia" w:ascii="宋体" w:hAnsi="宋体"/>
          <w:bCs/>
          <w:color w:val="auto"/>
          <w:sz w:val="24"/>
        </w:rPr>
        <w:t>上侏罗统热水洞组（J</w:t>
      </w:r>
      <w:r>
        <w:rPr>
          <w:rFonts w:hint="eastAsia" w:ascii="宋体" w:hAnsi="宋体"/>
          <w:bCs/>
          <w:i/>
          <w:color w:val="auto"/>
          <w:sz w:val="24"/>
          <w:vertAlign w:val="subscript"/>
        </w:rPr>
        <w:t>3r</w:t>
      </w:r>
      <w:r>
        <w:rPr>
          <w:rFonts w:hint="eastAsia" w:ascii="宋体" w:hAnsi="宋体"/>
          <w:bCs/>
          <w:color w:val="auto"/>
          <w:sz w:val="24"/>
        </w:rPr>
        <w:t>）：岩性主要为流纹（英安）质火山碎屑岩，夹少量火山碎屑沉积岩。</w:t>
      </w:r>
    </w:p>
    <w:p>
      <w:pPr>
        <w:widowControl/>
        <w:spacing w:line="500" w:lineRule="exact"/>
        <w:ind w:firstLine="480" w:firstLineChars="200"/>
        <w:rPr>
          <w:rFonts w:ascii="宋体" w:hAnsi="宋体"/>
          <w:bCs/>
          <w:color w:val="auto"/>
          <w:sz w:val="24"/>
        </w:rPr>
      </w:pPr>
      <w:r>
        <w:rPr>
          <w:rFonts w:hint="eastAsia" w:ascii="宋体" w:hAnsi="宋体"/>
          <w:bCs/>
          <w:color w:val="auto"/>
          <w:sz w:val="24"/>
        </w:rPr>
        <w:t>上侏罗统-下白垩统南山村组（J</w:t>
      </w:r>
      <w:r>
        <w:rPr>
          <w:rFonts w:hint="eastAsia" w:ascii="宋体" w:hAnsi="宋体"/>
          <w:bCs/>
          <w:i/>
          <w:color w:val="auto"/>
          <w:sz w:val="24"/>
          <w:vertAlign w:val="subscript"/>
        </w:rPr>
        <w:t>3</w:t>
      </w:r>
      <w:r>
        <w:rPr>
          <w:rFonts w:hint="eastAsia" w:ascii="宋体" w:hAnsi="宋体"/>
          <w:bCs/>
          <w:color w:val="auto"/>
          <w:sz w:val="24"/>
        </w:rPr>
        <w:t>-K</w:t>
      </w:r>
      <w:r>
        <w:rPr>
          <w:rFonts w:hint="eastAsia" w:ascii="宋体" w:hAnsi="宋体"/>
          <w:bCs/>
          <w:i/>
          <w:color w:val="auto"/>
          <w:sz w:val="24"/>
          <w:vertAlign w:val="subscript"/>
        </w:rPr>
        <w:t>1n</w:t>
      </w:r>
      <w:r>
        <w:rPr>
          <w:rFonts w:hint="eastAsia" w:ascii="宋体" w:hAnsi="宋体"/>
          <w:bCs/>
          <w:color w:val="auto"/>
          <w:sz w:val="24"/>
        </w:rPr>
        <w:t>）：岩性主要为英安-流纹质火山碎屑岩，夹少量火山碎屑沉积岩。</w:t>
      </w:r>
    </w:p>
    <w:p>
      <w:pPr>
        <w:widowControl/>
        <w:spacing w:line="500" w:lineRule="exact"/>
        <w:ind w:firstLine="480" w:firstLineChars="200"/>
        <w:rPr>
          <w:rFonts w:ascii="宋体" w:hAnsi="宋体"/>
          <w:bCs/>
          <w:color w:val="auto"/>
          <w:sz w:val="24"/>
        </w:rPr>
      </w:pPr>
      <w:r>
        <w:rPr>
          <w:rFonts w:hint="eastAsia" w:ascii="宋体" w:hAnsi="宋体"/>
          <w:bCs/>
          <w:color w:val="auto"/>
          <w:sz w:val="24"/>
        </w:rPr>
        <w:t>区断裂构造广泛发育，以NE向为主，EW向、NW向次之。NE向莲花山深断裂带和潮安-普宁深断裂带以及伴随的NW向断裂组成了区域构造骨架；EW向断裂断续展露。受燕山期和喜山期构造运动影响，各类构造叠加、交接复合，具多期活动特征。总体来说，断裂构造发育，褶皱构造较弱。</w:t>
      </w:r>
    </w:p>
    <w:p>
      <w:pPr>
        <w:widowControl/>
        <w:spacing w:line="500" w:lineRule="exact"/>
        <w:ind w:firstLine="480" w:firstLineChars="200"/>
        <w:rPr>
          <w:rFonts w:ascii="宋体" w:hAnsi="宋体"/>
          <w:bCs/>
          <w:color w:val="auto"/>
          <w:sz w:val="24"/>
        </w:rPr>
      </w:pPr>
      <w:r>
        <w:rPr>
          <w:rFonts w:hint="eastAsia" w:ascii="宋体" w:hAnsi="宋体"/>
          <w:bCs/>
          <w:color w:val="auto"/>
          <w:sz w:val="24"/>
        </w:rPr>
        <w:t>区域上岩浆岩大面积分布，是为留隍岩体的一部分，主要有晚侏罗世（γβJ</w:t>
      </w:r>
      <w:r>
        <w:rPr>
          <w:rFonts w:hint="eastAsia" w:ascii="宋体" w:hAnsi="宋体"/>
          <w:bCs/>
          <w:i/>
          <w:color w:val="auto"/>
          <w:sz w:val="24"/>
          <w:vertAlign w:val="subscript"/>
        </w:rPr>
        <w:t>3</w:t>
      </w:r>
      <w:r>
        <w:rPr>
          <w:rFonts w:hint="eastAsia" w:ascii="宋体" w:hAnsi="宋体"/>
          <w:bCs/>
          <w:color w:val="auto"/>
          <w:sz w:val="24"/>
        </w:rPr>
        <w:t>）黑云母花岗岩、细粒花岗岩、二长花岗岩和花岗闪长岩；早白垩世（γβK</w:t>
      </w:r>
      <w:r>
        <w:rPr>
          <w:rFonts w:hint="eastAsia" w:ascii="宋体" w:hAnsi="宋体"/>
          <w:bCs/>
          <w:i/>
          <w:color w:val="auto"/>
          <w:sz w:val="24"/>
          <w:vertAlign w:val="subscript"/>
        </w:rPr>
        <w:t>1</w:t>
      </w:r>
      <w:r>
        <w:rPr>
          <w:rFonts w:hint="eastAsia" w:ascii="宋体" w:hAnsi="宋体"/>
          <w:bCs/>
          <w:color w:val="auto"/>
          <w:sz w:val="24"/>
        </w:rPr>
        <w:t>）黑云母花岗岩。晚侏罗世（γβJ</w:t>
      </w:r>
      <w:r>
        <w:rPr>
          <w:rFonts w:hint="eastAsia" w:ascii="宋体" w:hAnsi="宋体"/>
          <w:bCs/>
          <w:i/>
          <w:color w:val="auto"/>
          <w:sz w:val="24"/>
          <w:vertAlign w:val="subscript"/>
        </w:rPr>
        <w:t>3</w:t>
      </w:r>
      <w:r>
        <w:rPr>
          <w:rFonts w:hint="eastAsia" w:ascii="宋体" w:hAnsi="宋体"/>
          <w:bCs/>
          <w:color w:val="auto"/>
          <w:sz w:val="24"/>
        </w:rPr>
        <w:t>）黑云母花岗岩岩性为中粗粒（斑状）黑云母花岗岩、中粗粒黑云母二长花岗岩，呈岩基、岩墙、岩株产出。</w:t>
      </w:r>
    </w:p>
    <w:p>
      <w:pPr>
        <w:widowControl/>
        <w:spacing w:line="500" w:lineRule="exact"/>
        <w:ind w:firstLine="480" w:firstLineChars="200"/>
        <w:rPr>
          <w:rFonts w:ascii="宋体" w:hAnsi="宋体"/>
          <w:bCs/>
          <w:color w:val="auto"/>
          <w:sz w:val="24"/>
        </w:rPr>
      </w:pPr>
      <w:r>
        <w:rPr>
          <w:rFonts w:hint="eastAsia" w:ascii="宋体" w:hAnsi="宋体"/>
          <w:bCs/>
          <w:color w:val="auto"/>
          <w:sz w:val="24"/>
        </w:rPr>
        <w:t>区域矿产资源丰富，矿点较多，以铜、锡、铅、锌、银、金、铁、锰、铌、钽、锆、铍、铬、镉金属资源和高岭土、钾长石、热水等非金属矿为主。主要矿点有马图、铅山、乌阴山铅锌多金属矿点，大塘肚高岭土矿点等。</w:t>
      </w:r>
    </w:p>
    <w:p>
      <w:pPr>
        <w:widowControl/>
        <w:spacing w:line="500" w:lineRule="exact"/>
        <w:ind w:firstLine="480" w:firstLineChars="200"/>
        <w:rPr>
          <w:rFonts w:ascii="宋体" w:hAnsi="宋体"/>
          <w:bCs/>
          <w:color w:val="auto"/>
          <w:sz w:val="24"/>
        </w:rPr>
      </w:pPr>
      <w:r>
        <w:rPr>
          <w:rFonts w:ascii="宋体" w:hAnsi="宋体"/>
          <w:bCs/>
          <w:color w:val="auto"/>
          <w:sz w:val="24"/>
        </w:rPr>
        <w:t>区域上矿区处于莲花山断裂带北西侧，主要地层为东南部的侏罗系热水洞组（Jr），中、东部的大面积侏罗系漳平组（JZ^），西北部少量的白垩系叶塘组（Kyt）；岩浆岩为中、西南部的燕山三期花岗岩（</w:t>
      </w:r>
      <w:r>
        <w:rPr>
          <w:rFonts w:hint="eastAsia" w:ascii="宋体" w:hAnsi="宋体"/>
          <w:bCs/>
          <w:color w:val="auto"/>
          <w:sz w:val="24"/>
        </w:rPr>
        <w:t>γ</w:t>
      </w:r>
      <w:r>
        <w:rPr>
          <w:rFonts w:hint="eastAsia" w:ascii="宋体" w:hAnsi="宋体"/>
          <w:bCs/>
          <w:color w:val="auto"/>
          <w:sz w:val="24"/>
          <w:vertAlign w:val="subscript"/>
        </w:rPr>
        <w:t>5</w:t>
      </w:r>
      <w:r>
        <w:rPr>
          <w:rFonts w:hint="eastAsia" w:ascii="宋体" w:hAnsi="宋体"/>
          <w:bCs/>
          <w:color w:val="auto"/>
          <w:sz w:val="24"/>
          <w:vertAlign w:val="superscript"/>
        </w:rPr>
        <w:t>2（3）</w:t>
      </w:r>
      <w:r>
        <w:rPr>
          <w:rFonts w:ascii="宋体" w:hAnsi="宋体"/>
          <w:bCs/>
          <w:color w:val="auto"/>
          <w:sz w:val="24"/>
        </w:rPr>
        <w:t>）。构造为两组北东向断裂、两组北北西向断裂、一组东西向的断裂。</w:t>
      </w:r>
    </w:p>
    <w:p>
      <w:pPr>
        <w:pStyle w:val="5"/>
        <w:keepLines w:val="0"/>
        <w:widowControl/>
        <w:spacing w:before="120" w:after="120" w:line="500" w:lineRule="exact"/>
        <w:rPr>
          <w:rFonts w:ascii="宋体" w:hAnsi="宋体"/>
          <w:color w:val="auto"/>
          <w:kern w:val="28"/>
          <w:sz w:val="28"/>
          <w:szCs w:val="28"/>
        </w:rPr>
      </w:pPr>
      <w:r>
        <w:rPr>
          <w:rFonts w:ascii="宋体" w:hAnsi="宋体"/>
          <w:color w:val="auto"/>
          <w:kern w:val="28"/>
          <w:sz w:val="28"/>
          <w:szCs w:val="28"/>
        </w:rPr>
        <w:t>2.3.</w:t>
      </w:r>
      <w:r>
        <w:rPr>
          <w:rFonts w:hint="eastAsia" w:ascii="宋体" w:hAnsi="宋体"/>
          <w:color w:val="auto"/>
          <w:kern w:val="28"/>
          <w:sz w:val="28"/>
          <w:szCs w:val="28"/>
        </w:rPr>
        <w:t>2矿区</w:t>
      </w:r>
      <w:r>
        <w:rPr>
          <w:rFonts w:ascii="宋体" w:hAnsi="宋体"/>
          <w:color w:val="auto"/>
          <w:kern w:val="28"/>
          <w:sz w:val="28"/>
          <w:szCs w:val="28"/>
        </w:rPr>
        <w:t>地质概况</w:t>
      </w:r>
    </w:p>
    <w:p>
      <w:pPr>
        <w:widowControl/>
        <w:spacing w:line="500" w:lineRule="exact"/>
        <w:ind w:firstLine="480" w:firstLineChars="200"/>
        <w:rPr>
          <w:rFonts w:ascii="宋体" w:hAnsi="宋体"/>
          <w:bCs/>
          <w:color w:val="auto"/>
          <w:sz w:val="24"/>
        </w:rPr>
      </w:pPr>
      <w:r>
        <w:rPr>
          <w:rFonts w:ascii="宋体" w:hAnsi="宋体"/>
          <w:bCs/>
          <w:color w:val="auto"/>
          <w:sz w:val="24"/>
        </w:rPr>
        <w:t>矿区内出露地层为侏罗纪漳平组（J</w:t>
      </w:r>
      <w:r>
        <w:rPr>
          <w:rFonts w:ascii="宋体" w:hAnsi="宋体"/>
          <w:bCs/>
          <w:i/>
          <w:color w:val="auto"/>
          <w:sz w:val="24"/>
        </w:rPr>
        <w:t>Z</w:t>
      </w:r>
      <w:r>
        <w:rPr>
          <w:rFonts w:ascii="宋体" w:hAnsi="宋体"/>
          <w:bCs/>
          <w:i/>
          <w:iCs/>
          <w:color w:val="auto"/>
          <w:sz w:val="24"/>
          <w:vertAlign w:val="superscript"/>
        </w:rPr>
        <w:t>^</w:t>
      </w:r>
      <w:r>
        <w:rPr>
          <w:rFonts w:ascii="宋体" w:hAnsi="宋体"/>
          <w:bCs/>
          <w:iCs/>
          <w:color w:val="auto"/>
          <w:sz w:val="24"/>
        </w:rPr>
        <w:t>）</w:t>
      </w:r>
      <w:r>
        <w:rPr>
          <w:rFonts w:ascii="宋体" w:hAnsi="宋体"/>
          <w:bCs/>
          <w:color w:val="auto"/>
          <w:sz w:val="24"/>
        </w:rPr>
        <w:t>及第四系冲洪积层(Q)，岩浆岩为燕山三期花岗岩及局部有后期侵入的石英斑岩脉。石英斑岩风化成的高岭土矿为</w:t>
      </w:r>
      <w:r>
        <w:rPr>
          <w:rFonts w:hint="eastAsia" w:ascii="宋体" w:hAnsi="宋体"/>
          <w:bCs/>
          <w:color w:val="auto"/>
          <w:sz w:val="24"/>
        </w:rPr>
        <w:t>储量核实</w:t>
      </w:r>
      <w:r>
        <w:rPr>
          <w:rFonts w:ascii="宋体" w:hAnsi="宋体"/>
          <w:bCs/>
          <w:color w:val="auto"/>
          <w:sz w:val="24"/>
        </w:rPr>
        <w:t>工作的主要对象。</w:t>
      </w:r>
    </w:p>
    <w:p>
      <w:pPr>
        <w:widowControl/>
        <w:spacing w:line="500" w:lineRule="exact"/>
        <w:ind w:firstLine="482" w:firstLineChars="200"/>
        <w:rPr>
          <w:rFonts w:ascii="宋体" w:hAnsi="宋体"/>
          <w:b/>
          <w:bCs/>
          <w:color w:val="auto"/>
          <w:sz w:val="24"/>
        </w:rPr>
      </w:pPr>
      <w:bookmarkStart w:id="139" w:name="_Toc226966747"/>
      <w:bookmarkStart w:id="140" w:name="_Toc217961712"/>
      <w:bookmarkStart w:id="141" w:name="_Toc210098600"/>
      <w:bookmarkStart w:id="142" w:name="_Toc217961849"/>
      <w:r>
        <w:rPr>
          <w:rFonts w:ascii="宋体" w:hAnsi="宋体"/>
          <w:b/>
          <w:bCs/>
          <w:color w:val="auto"/>
          <w:sz w:val="24"/>
        </w:rPr>
        <w:t>1</w:t>
      </w:r>
      <w:r>
        <w:rPr>
          <w:rFonts w:hint="eastAsia" w:ascii="宋体" w:hAnsi="宋体"/>
          <w:b/>
          <w:bCs/>
          <w:color w:val="auto"/>
          <w:sz w:val="24"/>
        </w:rPr>
        <w:t>）地层</w:t>
      </w:r>
    </w:p>
    <w:p>
      <w:pPr>
        <w:widowControl/>
        <w:spacing w:line="500" w:lineRule="exact"/>
        <w:ind w:firstLine="480" w:firstLineChars="200"/>
        <w:rPr>
          <w:rFonts w:ascii="宋体" w:hAnsi="宋体"/>
          <w:bCs/>
          <w:color w:val="auto"/>
          <w:sz w:val="24"/>
        </w:rPr>
      </w:pPr>
      <w:r>
        <w:rPr>
          <w:rFonts w:ascii="宋体" w:hAnsi="宋体"/>
          <w:bCs/>
          <w:color w:val="auto"/>
          <w:sz w:val="24"/>
        </w:rPr>
        <w:t>矿区内出露地层为侏罗纪漳平组（J</w:t>
      </w:r>
      <w:r>
        <w:rPr>
          <w:rFonts w:ascii="宋体" w:hAnsi="宋体"/>
          <w:bCs/>
          <w:i/>
          <w:color w:val="auto"/>
          <w:sz w:val="24"/>
        </w:rPr>
        <w:t>Z</w:t>
      </w:r>
      <w:r>
        <w:rPr>
          <w:rFonts w:ascii="宋体" w:hAnsi="宋体"/>
          <w:bCs/>
          <w:i/>
          <w:iCs/>
          <w:color w:val="auto"/>
          <w:sz w:val="24"/>
          <w:vertAlign w:val="superscript"/>
        </w:rPr>
        <w:t>^</w:t>
      </w:r>
      <w:r>
        <w:rPr>
          <w:rFonts w:ascii="宋体" w:hAnsi="宋体"/>
          <w:bCs/>
          <w:iCs/>
          <w:color w:val="auto"/>
          <w:sz w:val="24"/>
        </w:rPr>
        <w:t>）</w:t>
      </w:r>
      <w:r>
        <w:rPr>
          <w:rFonts w:ascii="宋体" w:hAnsi="宋体"/>
          <w:bCs/>
          <w:color w:val="auto"/>
          <w:sz w:val="24"/>
        </w:rPr>
        <w:t>及第四系冲洪积层(Q)。</w:t>
      </w:r>
    </w:p>
    <w:p>
      <w:pPr>
        <w:widowControl/>
        <w:spacing w:line="500" w:lineRule="exact"/>
        <w:ind w:firstLine="480" w:firstLineChars="200"/>
        <w:rPr>
          <w:rFonts w:ascii="宋体" w:hAnsi="宋体"/>
          <w:bCs/>
          <w:iCs/>
          <w:color w:val="auto"/>
          <w:sz w:val="24"/>
        </w:rPr>
      </w:pPr>
      <w:r>
        <w:rPr>
          <w:rFonts w:ascii="宋体" w:hAnsi="宋体"/>
          <w:bCs/>
          <w:color w:val="auto"/>
          <w:sz w:val="24"/>
        </w:rPr>
        <w:t>（1）侏罗纪漳平组（J</w:t>
      </w:r>
      <w:r>
        <w:rPr>
          <w:rFonts w:ascii="宋体" w:hAnsi="宋体"/>
          <w:bCs/>
          <w:i/>
          <w:color w:val="auto"/>
          <w:sz w:val="24"/>
        </w:rPr>
        <w:t>Z</w:t>
      </w:r>
      <w:r>
        <w:rPr>
          <w:rFonts w:ascii="宋体" w:hAnsi="宋体"/>
          <w:bCs/>
          <w:i/>
          <w:iCs/>
          <w:color w:val="auto"/>
          <w:sz w:val="24"/>
          <w:vertAlign w:val="superscript"/>
        </w:rPr>
        <w:t>^</w:t>
      </w:r>
      <w:r>
        <w:rPr>
          <w:rFonts w:ascii="宋体" w:hAnsi="宋体"/>
          <w:bCs/>
          <w:iCs/>
          <w:color w:val="auto"/>
          <w:sz w:val="24"/>
        </w:rPr>
        <w:t>）：位于矿区北部，出露面积约1.10km</w:t>
      </w:r>
      <w:r>
        <w:rPr>
          <w:rFonts w:ascii="宋体" w:hAnsi="宋体"/>
          <w:bCs/>
          <w:iCs/>
          <w:color w:val="auto"/>
          <w:sz w:val="24"/>
          <w:vertAlign w:val="superscript"/>
        </w:rPr>
        <w:t>2</w:t>
      </w:r>
      <w:r>
        <w:rPr>
          <w:rFonts w:ascii="宋体" w:hAnsi="宋体"/>
          <w:bCs/>
          <w:iCs/>
          <w:color w:val="auto"/>
          <w:sz w:val="24"/>
        </w:rPr>
        <w:t>，为一套杂色碎屑岩。由紫色、灰白、灰绿色砂岩及粉砂岩和泥岩夹少量含砾砂岩和砾岩组成。</w:t>
      </w:r>
    </w:p>
    <w:p>
      <w:pPr>
        <w:widowControl/>
        <w:spacing w:line="500" w:lineRule="exact"/>
        <w:ind w:firstLine="480" w:firstLineChars="200"/>
        <w:rPr>
          <w:rFonts w:ascii="宋体" w:hAnsi="宋体"/>
          <w:bCs/>
          <w:color w:val="auto"/>
          <w:sz w:val="24"/>
        </w:rPr>
      </w:pPr>
      <w:r>
        <w:rPr>
          <w:rFonts w:ascii="宋体" w:hAnsi="宋体"/>
          <w:bCs/>
          <w:color w:val="auto"/>
          <w:sz w:val="24"/>
        </w:rPr>
        <w:t>（2）第四系冲洪积层（Q）：分布在地表低洼处（冲沟和小溪两侧），同时也为地表山体覆盖层。岩性为褐黄色砂砾、砂、粘土质砂、砂质粘土。</w:t>
      </w:r>
    </w:p>
    <w:p>
      <w:pPr>
        <w:widowControl/>
        <w:spacing w:line="500" w:lineRule="exact"/>
        <w:ind w:firstLine="482" w:firstLineChars="200"/>
        <w:rPr>
          <w:rFonts w:ascii="宋体" w:hAnsi="宋体"/>
          <w:b/>
          <w:bCs/>
          <w:color w:val="auto"/>
          <w:sz w:val="24"/>
        </w:rPr>
      </w:pPr>
      <w:r>
        <w:rPr>
          <w:rFonts w:ascii="宋体" w:hAnsi="宋体"/>
          <w:b/>
          <w:bCs/>
          <w:color w:val="auto"/>
          <w:sz w:val="24"/>
        </w:rPr>
        <w:t>2</w:t>
      </w:r>
      <w:r>
        <w:rPr>
          <w:rFonts w:hint="eastAsia" w:ascii="宋体" w:hAnsi="宋体"/>
          <w:b/>
          <w:bCs/>
          <w:color w:val="auto"/>
          <w:sz w:val="24"/>
        </w:rPr>
        <w:t>）构造</w:t>
      </w:r>
    </w:p>
    <w:p>
      <w:pPr>
        <w:widowControl/>
        <w:spacing w:line="500" w:lineRule="exact"/>
        <w:ind w:firstLine="480" w:firstLineChars="200"/>
        <w:rPr>
          <w:rFonts w:ascii="宋体" w:hAnsi="宋体"/>
          <w:bCs/>
          <w:color w:val="auto"/>
          <w:sz w:val="24"/>
        </w:rPr>
      </w:pPr>
      <w:r>
        <w:rPr>
          <w:rFonts w:ascii="宋体" w:hAnsi="宋体"/>
          <w:bCs/>
          <w:color w:val="auto"/>
          <w:sz w:val="24"/>
        </w:rPr>
        <w:t>矿区范围内未发现有断裂构造现象。</w:t>
      </w:r>
    </w:p>
    <w:p>
      <w:pPr>
        <w:widowControl/>
        <w:spacing w:line="500" w:lineRule="exact"/>
        <w:ind w:firstLine="482" w:firstLineChars="200"/>
        <w:rPr>
          <w:rFonts w:ascii="宋体" w:hAnsi="宋体"/>
          <w:b/>
          <w:bCs/>
          <w:color w:val="auto"/>
          <w:sz w:val="24"/>
        </w:rPr>
      </w:pPr>
      <w:r>
        <w:rPr>
          <w:rFonts w:ascii="宋体" w:hAnsi="宋体"/>
          <w:b/>
          <w:bCs/>
          <w:color w:val="auto"/>
          <w:sz w:val="24"/>
        </w:rPr>
        <w:t>3</w:t>
      </w:r>
      <w:r>
        <w:rPr>
          <w:rFonts w:hint="eastAsia" w:ascii="宋体" w:hAnsi="宋体"/>
          <w:b/>
          <w:bCs/>
          <w:color w:val="auto"/>
          <w:sz w:val="24"/>
        </w:rPr>
        <w:t>）岩浆岩</w:t>
      </w:r>
    </w:p>
    <w:bookmarkEnd w:id="139"/>
    <w:bookmarkEnd w:id="140"/>
    <w:bookmarkEnd w:id="141"/>
    <w:bookmarkEnd w:id="142"/>
    <w:p>
      <w:pPr>
        <w:widowControl/>
        <w:spacing w:line="500" w:lineRule="exact"/>
        <w:ind w:firstLine="480" w:firstLineChars="200"/>
        <w:rPr>
          <w:rFonts w:ascii="宋体" w:hAnsi="宋体"/>
          <w:bCs/>
          <w:color w:val="auto"/>
          <w:sz w:val="24"/>
        </w:rPr>
      </w:pPr>
      <w:r>
        <w:rPr>
          <w:rFonts w:ascii="宋体" w:hAnsi="宋体"/>
          <w:bCs/>
          <w:color w:val="auto"/>
          <w:sz w:val="24"/>
        </w:rPr>
        <w:t>（1）燕山三期花岗岩（γ</w:t>
      </w:r>
      <w:r>
        <w:rPr>
          <w:rFonts w:ascii="宋体" w:hAnsi="宋体"/>
          <w:bCs/>
          <w:color w:val="auto"/>
          <w:sz w:val="24"/>
          <w:vertAlign w:val="subscript"/>
        </w:rPr>
        <w:t>5</w:t>
      </w:r>
      <w:r>
        <w:rPr>
          <w:rFonts w:ascii="宋体" w:hAnsi="宋体"/>
          <w:bCs/>
          <w:color w:val="auto"/>
          <w:sz w:val="24"/>
          <w:vertAlign w:val="superscript"/>
        </w:rPr>
        <w:t>2（3）</w:t>
      </w:r>
      <w:r>
        <w:rPr>
          <w:rFonts w:ascii="宋体" w:hAnsi="宋体"/>
          <w:bCs/>
          <w:color w:val="auto"/>
          <w:sz w:val="24"/>
        </w:rPr>
        <w:t>）：分布于矿区南部和西部，面积约2km</w:t>
      </w:r>
      <w:r>
        <w:rPr>
          <w:rFonts w:ascii="宋体" w:hAnsi="宋体"/>
          <w:bCs/>
          <w:color w:val="auto"/>
          <w:sz w:val="24"/>
          <w:vertAlign w:val="superscript"/>
        </w:rPr>
        <w:t>2</w:t>
      </w:r>
      <w:r>
        <w:rPr>
          <w:rFonts w:ascii="宋体" w:hAnsi="宋体"/>
          <w:bCs/>
          <w:color w:val="auto"/>
          <w:sz w:val="24"/>
        </w:rPr>
        <w:t>。主要由灰白色中细粒黑云母花岗岩组成。新鲜岩石呈白色、灰白色，中细粒花岗结构，块状构造。主要矿物成分有：长石、石英。其中长石约占60%、石英约占30%、其他成分约占10%。</w:t>
      </w:r>
    </w:p>
    <w:p>
      <w:pPr>
        <w:widowControl/>
        <w:spacing w:line="500" w:lineRule="exact"/>
        <w:ind w:firstLine="480" w:firstLineChars="200"/>
        <w:rPr>
          <w:rFonts w:ascii="宋体" w:hAnsi="宋体"/>
          <w:bCs/>
          <w:color w:val="auto"/>
          <w:sz w:val="24"/>
        </w:rPr>
      </w:pPr>
      <w:r>
        <w:rPr>
          <w:rFonts w:ascii="宋体" w:hAnsi="宋体"/>
          <w:bCs/>
          <w:color w:val="auto"/>
          <w:sz w:val="24"/>
        </w:rPr>
        <w:t>（2）石英斑岩(λπ)：在矿区西、东部各有一条，属后期侵入的岩脉，岩脉与围岩接触界面较稳定。西部一条呈南北向产于花岗岩中，东部为新发现的岩脉，平面上似长透镜状，走向北西-南东向，倾向北东，倾角较缓，在43°～47°之间。岩脉出露长828.0m，平均宽度75.0m，中部最宽处达94.0m。新鲜岩石呈灰白色，斑状结构，块状构造。成分主要由：长石、石英组成。斑晶以石英为主，其次为长石，粒径大小不甚均一，一般在1.0～3.0mm之间。</w:t>
      </w:r>
    </w:p>
    <w:p>
      <w:pPr>
        <w:pStyle w:val="5"/>
        <w:keepLines w:val="0"/>
        <w:widowControl/>
        <w:spacing w:before="120" w:after="120" w:line="500" w:lineRule="exact"/>
        <w:rPr>
          <w:rFonts w:ascii="宋体" w:hAnsi="宋体"/>
          <w:color w:val="auto"/>
          <w:kern w:val="28"/>
          <w:sz w:val="28"/>
          <w:szCs w:val="28"/>
        </w:rPr>
      </w:pPr>
      <w:r>
        <w:rPr>
          <w:rFonts w:ascii="宋体" w:hAnsi="宋体"/>
          <w:color w:val="auto"/>
          <w:kern w:val="28"/>
          <w:sz w:val="28"/>
          <w:szCs w:val="28"/>
        </w:rPr>
        <w:t>2.3.</w:t>
      </w:r>
      <w:r>
        <w:rPr>
          <w:rFonts w:hint="eastAsia" w:ascii="宋体" w:hAnsi="宋体"/>
          <w:color w:val="auto"/>
          <w:kern w:val="28"/>
          <w:sz w:val="28"/>
          <w:szCs w:val="28"/>
        </w:rPr>
        <w:t>3矿体</w:t>
      </w:r>
      <w:r>
        <w:rPr>
          <w:rFonts w:ascii="宋体" w:hAnsi="宋体"/>
          <w:color w:val="auto"/>
          <w:kern w:val="28"/>
          <w:sz w:val="28"/>
          <w:szCs w:val="28"/>
        </w:rPr>
        <w:t>地质特征</w:t>
      </w:r>
    </w:p>
    <w:p>
      <w:pPr>
        <w:widowControl/>
        <w:spacing w:line="500" w:lineRule="exact"/>
        <w:ind w:firstLine="480" w:firstLineChars="200"/>
        <w:rPr>
          <w:rFonts w:ascii="宋体" w:hAnsi="宋体"/>
          <w:bCs/>
          <w:color w:val="auto"/>
          <w:sz w:val="24"/>
        </w:rPr>
      </w:pPr>
      <w:r>
        <w:rPr>
          <w:rFonts w:hint="eastAsia" w:ascii="宋体" w:hAnsi="宋体"/>
          <w:bCs/>
          <w:color w:val="auto"/>
          <w:sz w:val="24"/>
        </w:rPr>
        <w:t>1）</w:t>
      </w:r>
      <w:r>
        <w:rPr>
          <w:rFonts w:ascii="宋体" w:hAnsi="宋体"/>
          <w:bCs/>
          <w:color w:val="auto"/>
          <w:sz w:val="24"/>
        </w:rPr>
        <w:t>矿石成份、结构、构造</w:t>
      </w:r>
    </w:p>
    <w:p>
      <w:pPr>
        <w:widowControl/>
        <w:spacing w:line="500" w:lineRule="exact"/>
        <w:ind w:firstLine="480" w:firstLineChars="200"/>
        <w:rPr>
          <w:rFonts w:ascii="宋体" w:hAnsi="宋体"/>
          <w:bCs/>
          <w:color w:val="auto"/>
          <w:sz w:val="24"/>
        </w:rPr>
      </w:pPr>
      <w:r>
        <w:rPr>
          <w:rFonts w:ascii="宋体" w:hAnsi="宋体"/>
          <w:bCs/>
          <w:color w:val="auto"/>
          <w:sz w:val="24"/>
        </w:rPr>
        <w:t>试采面上见高岭土矿呈白色，土状，块状，结构较松散。主要由斑晶和基质组成，斑晶以石英为主，约占7%，其次长石＜1%。粒径大小不甚均一，一般在1.0～3.0mm之间。基质为长英质占27%，高岭石族粘土矿物66%，及微量重矿物、磁铁矿等。矿石具吸水性，弱可塑性。</w:t>
      </w:r>
    </w:p>
    <w:p>
      <w:pPr>
        <w:widowControl/>
        <w:spacing w:line="500" w:lineRule="exact"/>
        <w:ind w:firstLine="480" w:firstLineChars="200"/>
        <w:rPr>
          <w:rFonts w:ascii="宋体" w:hAnsi="宋体"/>
          <w:bCs/>
          <w:color w:val="auto"/>
          <w:sz w:val="24"/>
        </w:rPr>
      </w:pPr>
      <w:r>
        <w:rPr>
          <w:rFonts w:hint="eastAsia" w:ascii="宋体" w:hAnsi="宋体"/>
          <w:bCs/>
          <w:color w:val="auto"/>
          <w:sz w:val="24"/>
        </w:rPr>
        <w:t>2）</w:t>
      </w:r>
      <w:r>
        <w:rPr>
          <w:rFonts w:ascii="宋体" w:hAnsi="宋体"/>
          <w:bCs/>
          <w:color w:val="auto"/>
          <w:sz w:val="24"/>
        </w:rPr>
        <w:t>矿石化学成份</w:t>
      </w:r>
    </w:p>
    <w:p>
      <w:pPr>
        <w:widowControl/>
        <w:spacing w:line="500" w:lineRule="exact"/>
        <w:ind w:firstLine="480" w:firstLineChars="200"/>
        <w:rPr>
          <w:rFonts w:ascii="宋体" w:hAnsi="宋体"/>
          <w:bCs/>
          <w:color w:val="auto"/>
          <w:sz w:val="24"/>
        </w:rPr>
      </w:pPr>
      <w:r>
        <w:rPr>
          <w:rFonts w:hint="eastAsia" w:ascii="宋体" w:hAnsi="宋体"/>
          <w:bCs/>
          <w:color w:val="auto"/>
          <w:sz w:val="24"/>
        </w:rPr>
        <w:t>（1）</w:t>
      </w:r>
      <w:r>
        <w:rPr>
          <w:rFonts w:ascii="宋体" w:hAnsi="宋体"/>
          <w:bCs/>
          <w:color w:val="auto"/>
          <w:sz w:val="24"/>
        </w:rPr>
        <w:t>基本分析：SiO</w:t>
      </w:r>
      <w:r>
        <w:rPr>
          <w:rFonts w:ascii="宋体" w:hAnsi="宋体"/>
          <w:bCs/>
          <w:color w:val="auto"/>
          <w:sz w:val="24"/>
          <w:vertAlign w:val="subscript"/>
        </w:rPr>
        <w:t>2</w:t>
      </w:r>
      <w:r>
        <w:rPr>
          <w:rFonts w:ascii="宋体" w:hAnsi="宋体"/>
          <w:bCs/>
          <w:color w:val="auto"/>
          <w:sz w:val="24"/>
        </w:rPr>
        <w:t>最小71.69%，最大75.68%，平均73.71%。Al</w:t>
      </w:r>
      <w:r>
        <w:rPr>
          <w:rFonts w:ascii="宋体" w:hAnsi="宋体"/>
          <w:bCs/>
          <w:color w:val="auto"/>
          <w:sz w:val="24"/>
          <w:vertAlign w:val="subscript"/>
        </w:rPr>
        <w:t>2</w:t>
      </w:r>
      <w:r>
        <w:rPr>
          <w:rFonts w:ascii="宋体" w:hAnsi="宋体"/>
          <w:bCs/>
          <w:color w:val="auto"/>
          <w:sz w:val="24"/>
        </w:rPr>
        <w:t>O</w:t>
      </w:r>
      <w:r>
        <w:rPr>
          <w:rFonts w:ascii="宋体" w:hAnsi="宋体"/>
          <w:bCs/>
          <w:color w:val="auto"/>
          <w:sz w:val="24"/>
          <w:vertAlign w:val="subscript"/>
        </w:rPr>
        <w:t>3</w:t>
      </w:r>
      <w:r>
        <w:rPr>
          <w:rFonts w:ascii="宋体" w:hAnsi="宋体"/>
          <w:bCs/>
          <w:color w:val="auto"/>
          <w:sz w:val="24"/>
        </w:rPr>
        <w:t>最小15.31%，最大19.49%，平均17.46%。Fe</w:t>
      </w:r>
      <w:r>
        <w:rPr>
          <w:rFonts w:ascii="宋体" w:hAnsi="宋体"/>
          <w:bCs/>
          <w:color w:val="auto"/>
          <w:sz w:val="24"/>
          <w:vertAlign w:val="subscript"/>
        </w:rPr>
        <w:t>2</w:t>
      </w:r>
      <w:r>
        <w:rPr>
          <w:rFonts w:ascii="宋体" w:hAnsi="宋体"/>
          <w:bCs/>
          <w:color w:val="auto"/>
          <w:sz w:val="24"/>
        </w:rPr>
        <w:t>O</w:t>
      </w:r>
      <w:r>
        <w:rPr>
          <w:rFonts w:ascii="宋体" w:hAnsi="宋体"/>
          <w:bCs/>
          <w:color w:val="auto"/>
          <w:sz w:val="24"/>
          <w:vertAlign w:val="subscript"/>
        </w:rPr>
        <w:t>3</w:t>
      </w:r>
      <w:r>
        <w:rPr>
          <w:rFonts w:ascii="宋体" w:hAnsi="宋体"/>
          <w:bCs/>
          <w:color w:val="auto"/>
          <w:sz w:val="24"/>
        </w:rPr>
        <w:t>最小0.48%，最大0.95%，平均0.66%。TiO</w:t>
      </w:r>
      <w:r>
        <w:rPr>
          <w:rFonts w:ascii="宋体" w:hAnsi="宋体"/>
          <w:bCs/>
          <w:color w:val="auto"/>
          <w:sz w:val="24"/>
          <w:vertAlign w:val="subscript"/>
        </w:rPr>
        <w:t>2</w:t>
      </w:r>
      <w:r>
        <w:rPr>
          <w:rFonts w:ascii="宋体" w:hAnsi="宋体"/>
          <w:bCs/>
          <w:color w:val="auto"/>
          <w:sz w:val="24"/>
        </w:rPr>
        <w:t>最小0.038%，最大0.11%，平均0.073%。</w:t>
      </w:r>
    </w:p>
    <w:p>
      <w:pPr>
        <w:widowControl/>
        <w:spacing w:line="500" w:lineRule="exact"/>
        <w:ind w:firstLine="480" w:firstLineChars="200"/>
        <w:rPr>
          <w:rFonts w:ascii="宋体" w:hAnsi="宋体"/>
          <w:bCs/>
          <w:color w:val="auto"/>
          <w:sz w:val="24"/>
        </w:rPr>
      </w:pPr>
      <w:r>
        <w:rPr>
          <w:rFonts w:hint="eastAsia" w:ascii="宋体" w:hAnsi="宋体"/>
          <w:bCs/>
          <w:color w:val="auto"/>
          <w:sz w:val="24"/>
        </w:rPr>
        <w:t>（2）</w:t>
      </w:r>
      <w:r>
        <w:rPr>
          <w:rFonts w:ascii="宋体" w:hAnsi="宋体"/>
          <w:bCs/>
          <w:color w:val="auto"/>
          <w:sz w:val="24"/>
        </w:rPr>
        <w:t>组合分析：SiO</w:t>
      </w:r>
      <w:r>
        <w:rPr>
          <w:rFonts w:ascii="宋体" w:hAnsi="宋体"/>
          <w:bCs/>
          <w:color w:val="auto"/>
          <w:sz w:val="24"/>
          <w:vertAlign w:val="subscript"/>
        </w:rPr>
        <w:t>2</w:t>
      </w:r>
      <w:r>
        <w:rPr>
          <w:rFonts w:ascii="宋体" w:hAnsi="宋体"/>
          <w:bCs/>
          <w:color w:val="auto"/>
          <w:sz w:val="24"/>
        </w:rPr>
        <w:t>最小73.83%，最大75.46%，平均74.42%,CaO最小0.11%，最大0.17%，平均0.14%。MgO最小0.19%，最大0.31%，平均0.25%。K</w:t>
      </w:r>
      <w:r>
        <w:rPr>
          <w:rFonts w:ascii="宋体" w:hAnsi="宋体"/>
          <w:bCs/>
          <w:color w:val="auto"/>
          <w:sz w:val="24"/>
          <w:vertAlign w:val="subscript"/>
        </w:rPr>
        <w:t>2</w:t>
      </w:r>
      <w:r>
        <w:rPr>
          <w:rFonts w:ascii="宋体" w:hAnsi="宋体"/>
          <w:bCs/>
          <w:color w:val="auto"/>
          <w:sz w:val="24"/>
        </w:rPr>
        <w:t>O最小2.76%，最大3.18%，平均2.99%,Na</w:t>
      </w:r>
      <w:r>
        <w:rPr>
          <w:rFonts w:ascii="宋体" w:hAnsi="宋体"/>
          <w:bCs/>
          <w:color w:val="auto"/>
          <w:sz w:val="24"/>
          <w:vertAlign w:val="subscript"/>
        </w:rPr>
        <w:t>2</w:t>
      </w:r>
      <w:r>
        <w:rPr>
          <w:rFonts w:ascii="宋体" w:hAnsi="宋体"/>
          <w:bCs/>
          <w:color w:val="auto"/>
          <w:sz w:val="24"/>
        </w:rPr>
        <w:t>O最小0.082%，最大0.105%，平均0.095%,SO</w:t>
      </w:r>
      <w:r>
        <w:rPr>
          <w:rFonts w:ascii="宋体" w:hAnsi="宋体"/>
          <w:bCs/>
          <w:color w:val="auto"/>
          <w:sz w:val="24"/>
          <w:vertAlign w:val="subscript"/>
        </w:rPr>
        <w:t>3</w:t>
      </w:r>
      <w:r>
        <w:rPr>
          <w:rFonts w:ascii="宋体" w:hAnsi="宋体"/>
          <w:bCs/>
          <w:color w:val="auto"/>
          <w:sz w:val="24"/>
        </w:rPr>
        <w:t>最小0.002%，最大0.003%，平均0.003%。灼矢量最小2.31%，最大2.75%，平均2.57%，淘洗率最小36.13%，最大37.88%，平均36.91%。</w:t>
      </w:r>
    </w:p>
    <w:p>
      <w:pPr>
        <w:widowControl/>
        <w:spacing w:line="500" w:lineRule="exact"/>
        <w:ind w:firstLine="480" w:firstLineChars="200"/>
        <w:rPr>
          <w:rFonts w:ascii="宋体" w:hAnsi="宋体"/>
          <w:bCs/>
          <w:color w:val="auto"/>
          <w:sz w:val="24"/>
        </w:rPr>
      </w:pPr>
      <w:r>
        <w:rPr>
          <w:rFonts w:ascii="宋体" w:hAnsi="宋体"/>
          <w:bCs/>
          <w:color w:val="auto"/>
          <w:sz w:val="24"/>
        </w:rPr>
        <w:t>上述情况表明，矿石质量均达到工业指标要求，而有害组分含量较低。</w:t>
      </w:r>
    </w:p>
    <w:p>
      <w:pPr>
        <w:widowControl/>
        <w:spacing w:line="500" w:lineRule="exact"/>
        <w:ind w:firstLine="480" w:firstLineChars="200"/>
        <w:rPr>
          <w:rFonts w:ascii="宋体" w:hAnsi="宋体"/>
          <w:bCs/>
          <w:color w:val="auto"/>
          <w:sz w:val="24"/>
        </w:rPr>
      </w:pPr>
      <w:r>
        <w:rPr>
          <w:rFonts w:hint="eastAsia" w:ascii="宋体" w:hAnsi="宋体"/>
          <w:bCs/>
          <w:color w:val="auto"/>
          <w:sz w:val="24"/>
        </w:rPr>
        <w:t>3）</w:t>
      </w:r>
      <w:r>
        <w:rPr>
          <w:rFonts w:ascii="宋体" w:hAnsi="宋体"/>
          <w:bCs/>
          <w:color w:val="auto"/>
          <w:sz w:val="24"/>
        </w:rPr>
        <w:t>矿石放射性含量测定</w:t>
      </w:r>
    </w:p>
    <w:p>
      <w:pPr>
        <w:widowControl/>
        <w:spacing w:line="500" w:lineRule="exact"/>
        <w:ind w:firstLine="480" w:firstLineChars="200"/>
        <w:rPr>
          <w:rFonts w:ascii="宋体" w:hAnsi="宋体"/>
          <w:bCs/>
          <w:color w:val="auto"/>
          <w:sz w:val="24"/>
        </w:rPr>
      </w:pPr>
      <w:r>
        <w:rPr>
          <w:rFonts w:ascii="宋体" w:hAnsi="宋体"/>
          <w:bCs/>
          <w:color w:val="auto"/>
          <w:sz w:val="24"/>
        </w:rPr>
        <w:t>本次工作采取的放射性样品送国土资源部放射性矿产资源监督检测中心进行放射性含量检测，检验结果为：C</w:t>
      </w:r>
      <w:r>
        <w:rPr>
          <w:rFonts w:ascii="宋体" w:hAnsi="宋体"/>
          <w:bCs/>
          <w:color w:val="auto"/>
          <w:sz w:val="24"/>
          <w:vertAlign w:val="subscript"/>
        </w:rPr>
        <w:t>Ra</w:t>
      </w:r>
      <w:r>
        <w:rPr>
          <w:rFonts w:ascii="宋体" w:hAnsi="宋体"/>
          <w:bCs/>
          <w:color w:val="auto"/>
          <w:sz w:val="24"/>
        </w:rPr>
        <w:t>=62.70Bq∕kg，C</w:t>
      </w:r>
      <w:r>
        <w:rPr>
          <w:rFonts w:ascii="宋体" w:hAnsi="宋体"/>
          <w:bCs/>
          <w:color w:val="auto"/>
          <w:sz w:val="24"/>
          <w:vertAlign w:val="subscript"/>
        </w:rPr>
        <w:t>Th</w:t>
      </w:r>
      <w:r>
        <w:rPr>
          <w:rFonts w:ascii="宋体" w:hAnsi="宋体"/>
          <w:bCs/>
          <w:color w:val="auto"/>
          <w:sz w:val="24"/>
        </w:rPr>
        <w:t>=128.80Bq∕kg，C</w:t>
      </w:r>
      <w:r>
        <w:rPr>
          <w:rFonts w:ascii="宋体" w:hAnsi="宋体"/>
          <w:bCs/>
          <w:color w:val="auto"/>
          <w:sz w:val="24"/>
          <w:vertAlign w:val="subscript"/>
        </w:rPr>
        <w:t>k</w:t>
      </w:r>
      <w:r>
        <w:rPr>
          <w:rFonts w:ascii="宋体" w:hAnsi="宋体"/>
          <w:bCs/>
          <w:color w:val="auto"/>
          <w:sz w:val="24"/>
        </w:rPr>
        <w:t>=912.0Bq∕kg，I</w:t>
      </w:r>
      <w:r>
        <w:rPr>
          <w:rFonts w:ascii="宋体" w:hAnsi="宋体"/>
          <w:bCs/>
          <w:color w:val="auto"/>
          <w:sz w:val="24"/>
          <w:vertAlign w:val="subscript"/>
        </w:rPr>
        <w:t>Ra</w:t>
      </w:r>
      <w:r>
        <w:rPr>
          <w:rFonts w:ascii="宋体" w:hAnsi="宋体"/>
          <w:bCs/>
          <w:color w:val="auto"/>
          <w:sz w:val="24"/>
        </w:rPr>
        <w:t>=0.30，I</w:t>
      </w:r>
      <w:r>
        <w:rPr>
          <w:rFonts w:ascii="宋体" w:hAnsi="宋体"/>
          <w:bCs/>
          <w:color w:val="auto"/>
          <w:sz w:val="24"/>
          <w:vertAlign w:val="subscript"/>
        </w:rPr>
        <w:t>r</w:t>
      </w:r>
      <w:r>
        <w:rPr>
          <w:rFonts w:ascii="宋体" w:hAnsi="宋体"/>
          <w:bCs/>
          <w:color w:val="auto"/>
          <w:sz w:val="24"/>
        </w:rPr>
        <w:t>=0.90。其比活度同时满足I</w:t>
      </w:r>
      <w:r>
        <w:rPr>
          <w:rFonts w:ascii="宋体" w:hAnsi="宋体"/>
          <w:bCs/>
          <w:color w:val="auto"/>
          <w:sz w:val="24"/>
          <w:vertAlign w:val="subscript"/>
        </w:rPr>
        <w:t>Ra</w:t>
      </w:r>
      <w:r>
        <w:rPr>
          <w:rFonts w:ascii="宋体" w:hAnsi="宋体"/>
          <w:bCs/>
          <w:color w:val="auto"/>
          <w:sz w:val="24"/>
        </w:rPr>
        <w:t>≤1.0和I</w:t>
      </w:r>
      <w:r>
        <w:rPr>
          <w:rFonts w:ascii="宋体" w:hAnsi="宋体"/>
          <w:bCs/>
          <w:color w:val="auto"/>
          <w:sz w:val="24"/>
          <w:vertAlign w:val="subscript"/>
        </w:rPr>
        <w:t>r</w:t>
      </w:r>
      <w:r>
        <w:rPr>
          <w:rFonts w:ascii="宋体" w:hAnsi="宋体"/>
          <w:bCs/>
          <w:color w:val="auto"/>
          <w:sz w:val="24"/>
        </w:rPr>
        <w:t>≤1.0。属A类，其产销和使用范围不受限制。</w:t>
      </w:r>
    </w:p>
    <w:p>
      <w:pPr>
        <w:widowControl/>
        <w:spacing w:line="500" w:lineRule="exact"/>
        <w:ind w:firstLine="480" w:firstLineChars="200"/>
        <w:rPr>
          <w:rFonts w:ascii="宋体" w:hAnsi="宋体"/>
          <w:bCs/>
          <w:color w:val="auto"/>
          <w:sz w:val="24"/>
        </w:rPr>
      </w:pPr>
      <w:r>
        <w:rPr>
          <w:rFonts w:hint="eastAsia" w:ascii="宋体" w:hAnsi="宋体"/>
          <w:bCs/>
          <w:color w:val="auto"/>
          <w:sz w:val="24"/>
        </w:rPr>
        <w:t>4）</w:t>
      </w:r>
      <w:r>
        <w:rPr>
          <w:rFonts w:ascii="宋体" w:hAnsi="宋体"/>
          <w:bCs/>
          <w:color w:val="auto"/>
          <w:sz w:val="24"/>
        </w:rPr>
        <w:t>矿石体重</w:t>
      </w:r>
    </w:p>
    <w:p>
      <w:pPr>
        <w:widowControl/>
        <w:spacing w:line="500" w:lineRule="exact"/>
        <w:ind w:firstLine="480" w:firstLineChars="200"/>
        <w:rPr>
          <w:rFonts w:ascii="宋体" w:hAnsi="宋体"/>
          <w:bCs/>
          <w:color w:val="auto"/>
          <w:sz w:val="24"/>
        </w:rPr>
      </w:pPr>
      <w:r>
        <w:rPr>
          <w:rFonts w:ascii="宋体" w:hAnsi="宋体"/>
          <w:bCs/>
          <w:color w:val="auto"/>
          <w:sz w:val="24"/>
        </w:rPr>
        <w:t>经检验，小体重：值为1.60、1.55、1.70g/cm</w:t>
      </w:r>
      <w:r>
        <w:rPr>
          <w:rFonts w:ascii="宋体" w:hAnsi="宋体"/>
          <w:bCs/>
          <w:color w:val="auto"/>
          <w:sz w:val="24"/>
          <w:vertAlign w:val="superscript"/>
        </w:rPr>
        <w:t>3</w:t>
      </w:r>
      <w:r>
        <w:rPr>
          <w:rFonts w:ascii="宋体" w:hAnsi="宋体"/>
          <w:bCs/>
          <w:color w:val="auto"/>
          <w:sz w:val="24"/>
        </w:rPr>
        <w:t>，平均值为1.60g/cm</w:t>
      </w:r>
      <w:r>
        <w:rPr>
          <w:rFonts w:ascii="宋体" w:hAnsi="宋体"/>
          <w:bCs/>
          <w:color w:val="auto"/>
          <w:sz w:val="24"/>
          <w:vertAlign w:val="superscript"/>
        </w:rPr>
        <w:t>3</w:t>
      </w:r>
      <w:r>
        <w:rPr>
          <w:rFonts w:ascii="宋体" w:hAnsi="宋体"/>
          <w:bCs/>
          <w:color w:val="auto"/>
          <w:sz w:val="24"/>
        </w:rPr>
        <w:t>。</w:t>
      </w:r>
    </w:p>
    <w:p>
      <w:pPr>
        <w:pStyle w:val="5"/>
        <w:keepLines w:val="0"/>
        <w:widowControl/>
        <w:spacing w:before="120" w:after="120" w:line="500" w:lineRule="exact"/>
        <w:rPr>
          <w:rFonts w:ascii="宋体" w:hAnsi="宋体"/>
          <w:color w:val="auto"/>
          <w:kern w:val="28"/>
          <w:sz w:val="28"/>
          <w:szCs w:val="28"/>
        </w:rPr>
      </w:pPr>
      <w:r>
        <w:rPr>
          <w:rFonts w:ascii="宋体" w:hAnsi="宋体"/>
          <w:color w:val="auto"/>
          <w:kern w:val="28"/>
          <w:sz w:val="28"/>
          <w:szCs w:val="28"/>
        </w:rPr>
        <w:t>2.3.4水文地质条件</w:t>
      </w:r>
    </w:p>
    <w:p>
      <w:pPr>
        <w:widowControl/>
        <w:spacing w:line="500" w:lineRule="exact"/>
        <w:ind w:firstLine="480" w:firstLineChars="200"/>
        <w:rPr>
          <w:rFonts w:ascii="宋体" w:hAnsi="宋体"/>
          <w:bCs/>
          <w:color w:val="auto"/>
          <w:sz w:val="24"/>
        </w:rPr>
      </w:pPr>
      <w:r>
        <w:rPr>
          <w:rFonts w:ascii="宋体" w:hAnsi="宋体"/>
          <w:bCs/>
          <w:color w:val="auto"/>
          <w:sz w:val="24"/>
        </w:rPr>
        <w:t>矿体两侧各有一条北西向小山沟，山沟平时有小流量的泉水流淌，遇降水时流量增大。矿体开采底板标高最低处高出山沟洪水水位线，降雨不会在露天开采场地形成大的积水面。矿区地表水补充主要为大气降雨，如有大的降雨均可注入矿体两侧山沟后自然排泄。矿区水文地质属简单类型。</w:t>
      </w:r>
    </w:p>
    <w:p>
      <w:pPr>
        <w:pStyle w:val="5"/>
        <w:keepLines w:val="0"/>
        <w:widowControl/>
        <w:spacing w:before="120" w:after="120" w:line="500" w:lineRule="exact"/>
        <w:rPr>
          <w:rFonts w:ascii="宋体" w:hAnsi="宋体"/>
          <w:color w:val="auto"/>
          <w:kern w:val="28"/>
          <w:sz w:val="28"/>
          <w:szCs w:val="28"/>
        </w:rPr>
      </w:pPr>
      <w:r>
        <w:rPr>
          <w:rFonts w:ascii="宋体" w:hAnsi="宋体"/>
          <w:color w:val="auto"/>
          <w:kern w:val="28"/>
          <w:sz w:val="28"/>
          <w:szCs w:val="28"/>
        </w:rPr>
        <w:t>2.3.5工程地质条件</w:t>
      </w:r>
    </w:p>
    <w:p>
      <w:pPr>
        <w:widowControl/>
        <w:spacing w:line="500" w:lineRule="exact"/>
        <w:ind w:firstLine="480" w:firstLineChars="200"/>
        <w:rPr>
          <w:rFonts w:ascii="宋体" w:hAnsi="宋体"/>
          <w:bCs/>
          <w:color w:val="auto"/>
          <w:sz w:val="24"/>
        </w:rPr>
      </w:pPr>
      <w:r>
        <w:rPr>
          <w:rFonts w:hint="eastAsia" w:ascii="宋体" w:hAnsi="宋体"/>
          <w:bCs/>
          <w:color w:val="auto"/>
          <w:sz w:val="24"/>
        </w:rPr>
        <w:t>高岭土矿埋藏相对较浅，便于露天开采，矿体两侧围岩为花岗岩，未风化围岩致密坚硬，不易垮塌，但因其表层花岗岩风化程度普遍达4～6m厚，故应分阶段剥离表层，且坡度角应≤45°，剥离物应堆入在山坡下方。采矿过程中，应特别注意花岗岩风化层的观察，尤其在雨天过后更应认真检查，确无险情才可采挖，以确保安全生产。</w:t>
      </w:r>
    </w:p>
    <w:p>
      <w:pPr>
        <w:widowControl/>
        <w:spacing w:line="500" w:lineRule="exact"/>
        <w:ind w:firstLine="480" w:firstLineChars="200"/>
        <w:rPr>
          <w:rFonts w:ascii="宋体" w:hAnsi="宋体"/>
          <w:bCs/>
          <w:color w:val="auto"/>
          <w:sz w:val="24"/>
        </w:rPr>
      </w:pPr>
      <w:r>
        <w:rPr>
          <w:rFonts w:hint="eastAsia" w:ascii="宋体" w:hAnsi="宋体"/>
          <w:bCs/>
          <w:color w:val="auto"/>
          <w:sz w:val="24"/>
        </w:rPr>
        <w:t>本区矿床属于浅埋型矿床，矿体没有断层通过。矿体及围岩顶部为花岗岩风化而成的第四系土层，覆盖厚度不大，矿体露天开采时采取从上而下的台阶式开采；矿体及围岩强风化岩层厚度不均，普遍厚度较小；弱风化岩层的岩石强度较高，稳定性较好，后续开采为削山头式的露天开采，严格按开采规范进行开采，影响较小，综合评定矿区工程地质条件简单。</w:t>
      </w:r>
    </w:p>
    <w:bookmarkEnd w:id="126"/>
    <w:bookmarkEnd w:id="127"/>
    <w:bookmarkEnd w:id="128"/>
    <w:bookmarkEnd w:id="129"/>
    <w:bookmarkEnd w:id="130"/>
    <w:bookmarkEnd w:id="131"/>
    <w:bookmarkEnd w:id="132"/>
    <w:bookmarkEnd w:id="135"/>
    <w:bookmarkEnd w:id="136"/>
    <w:bookmarkEnd w:id="137"/>
    <w:bookmarkEnd w:id="138"/>
    <w:p>
      <w:pPr>
        <w:pStyle w:val="4"/>
        <w:keepLines w:val="0"/>
        <w:widowControl/>
        <w:spacing w:before="120" w:after="120" w:line="500" w:lineRule="exact"/>
        <w:rPr>
          <w:rFonts w:ascii="宋体" w:hAnsi="宋体" w:eastAsia="宋体"/>
          <w:b/>
          <w:bCs w:val="0"/>
          <w:color w:val="auto"/>
          <w:kern w:val="28"/>
          <w:sz w:val="28"/>
          <w:szCs w:val="28"/>
        </w:rPr>
      </w:pPr>
      <w:bookmarkStart w:id="143" w:name="_Toc194551639"/>
      <w:bookmarkStart w:id="144" w:name="_Toc193789358"/>
      <w:bookmarkStart w:id="145" w:name="_Toc233881334"/>
      <w:bookmarkStart w:id="146" w:name="_Toc194481347"/>
      <w:bookmarkStart w:id="147" w:name="_Toc193792557"/>
      <w:bookmarkStart w:id="148" w:name="_Toc193792448"/>
      <w:bookmarkStart w:id="149" w:name="_Toc150262773"/>
      <w:bookmarkStart w:id="150" w:name="_Toc86571535"/>
      <w:bookmarkStart w:id="151" w:name="_Toc168484305"/>
      <w:bookmarkStart w:id="152" w:name="_Toc109632304"/>
      <w:bookmarkStart w:id="153" w:name="_Toc85597590"/>
      <w:bookmarkStart w:id="154" w:name="_Toc84995646"/>
      <w:bookmarkStart w:id="155" w:name="_Toc97627333"/>
      <w:bookmarkStart w:id="156" w:name="_Toc85267442"/>
      <w:bookmarkStart w:id="157" w:name="_Toc198106909"/>
      <w:bookmarkStart w:id="158" w:name="_Toc86222957"/>
      <w:bookmarkStart w:id="159" w:name="_Toc85251501"/>
      <w:bookmarkStart w:id="160" w:name="_Toc158167842"/>
      <w:bookmarkStart w:id="161" w:name="_Toc156811366"/>
      <w:bookmarkStart w:id="162" w:name="_Toc158167955"/>
      <w:bookmarkStart w:id="163" w:name="_Toc149559788"/>
      <w:bookmarkStart w:id="164" w:name="_Toc86571213"/>
      <w:bookmarkStart w:id="165" w:name="_Toc85251592"/>
      <w:r>
        <w:rPr>
          <w:rFonts w:hint="eastAsia" w:ascii="宋体" w:hAnsi="宋体" w:eastAsia="宋体"/>
          <w:b/>
          <w:bCs w:val="0"/>
          <w:color w:val="auto"/>
          <w:kern w:val="28"/>
          <w:sz w:val="28"/>
          <w:szCs w:val="28"/>
        </w:rPr>
        <w:t>2.4工程建设</w:t>
      </w:r>
      <w:bookmarkEnd w:id="143"/>
      <w:bookmarkEnd w:id="144"/>
      <w:bookmarkEnd w:id="145"/>
      <w:bookmarkEnd w:id="146"/>
      <w:bookmarkEnd w:id="147"/>
      <w:bookmarkEnd w:id="148"/>
      <w:r>
        <w:rPr>
          <w:rFonts w:hint="eastAsia" w:ascii="宋体" w:hAnsi="宋体" w:eastAsia="宋体"/>
          <w:b/>
          <w:bCs w:val="0"/>
          <w:color w:val="auto"/>
          <w:kern w:val="28"/>
          <w:sz w:val="28"/>
          <w:szCs w:val="28"/>
        </w:rPr>
        <w:t>方案概况</w:t>
      </w:r>
      <w:bookmarkEnd w:id="149"/>
    </w:p>
    <w:p>
      <w:pPr>
        <w:pStyle w:val="5"/>
        <w:keepLines w:val="0"/>
        <w:widowControl/>
        <w:spacing w:before="120" w:after="120" w:line="500" w:lineRule="exact"/>
        <w:rPr>
          <w:rFonts w:ascii="宋体" w:hAnsi="宋体"/>
          <w:color w:val="auto"/>
          <w:kern w:val="28"/>
          <w:sz w:val="28"/>
          <w:szCs w:val="28"/>
        </w:rPr>
      </w:pPr>
      <w:bookmarkStart w:id="166" w:name="_Toc233881336"/>
      <w:bookmarkStart w:id="167" w:name="_Toc213727804"/>
      <w:r>
        <w:rPr>
          <w:rFonts w:ascii="宋体" w:hAnsi="宋体"/>
          <w:color w:val="auto"/>
          <w:kern w:val="28"/>
          <w:sz w:val="28"/>
          <w:szCs w:val="28"/>
        </w:rPr>
        <w:t>2.4.1矿山开采现状</w:t>
      </w:r>
    </w:p>
    <w:p>
      <w:pPr>
        <w:widowControl/>
        <w:spacing w:line="500" w:lineRule="exact"/>
        <w:ind w:firstLine="480" w:firstLineChars="200"/>
        <w:rPr>
          <w:rFonts w:ascii="宋体" w:hAnsi="宋体"/>
          <w:color w:val="auto"/>
          <w:sz w:val="24"/>
        </w:rPr>
      </w:pPr>
      <w:r>
        <w:rPr>
          <w:rFonts w:hint="eastAsia" w:ascii="宋体" w:hAnsi="宋体"/>
          <w:color w:val="auto"/>
          <w:sz w:val="24"/>
        </w:rPr>
        <w:t>矿山在2014年8月获颁采矿许可证前，对矿区范围东南部进行过探采活动。采用露天台阶开采方式，采用挖掘机剥离覆盖层，用挖掘机、铲车直接装车运至堆场。目前，矿区东南部已基本剥离，剥离高度由标高+297m至+336m，并形成了高度约5m的多级台阶，边坡基本稳定。另外，企业在矿区东北部3号勘探线以北的采场内布置了数座水池，压占了东北部的矿石储量。</w:t>
      </w:r>
    </w:p>
    <w:p>
      <w:pPr>
        <w:widowControl/>
        <w:spacing w:line="500" w:lineRule="exact"/>
        <w:ind w:firstLine="480" w:firstLineChars="200"/>
        <w:rPr>
          <w:rFonts w:ascii="宋体" w:hAnsi="宋体"/>
          <w:color w:val="auto"/>
          <w:sz w:val="24"/>
        </w:rPr>
      </w:pPr>
      <w:r>
        <w:rPr>
          <w:rFonts w:hint="eastAsia" w:ascii="宋体" w:hAnsi="宋体"/>
          <w:color w:val="auto"/>
          <w:sz w:val="24"/>
        </w:rPr>
        <w:t>矿山原开采面、简易道路、排土场、办公生活区均可利旧。</w:t>
      </w:r>
    </w:p>
    <w:p>
      <w:pPr>
        <w:pStyle w:val="5"/>
        <w:keepLines w:val="0"/>
        <w:widowControl/>
        <w:spacing w:before="120" w:after="120" w:line="500" w:lineRule="exact"/>
        <w:rPr>
          <w:rFonts w:ascii="宋体" w:hAnsi="宋体"/>
          <w:color w:val="auto"/>
          <w:kern w:val="28"/>
          <w:sz w:val="28"/>
          <w:szCs w:val="28"/>
        </w:rPr>
      </w:pPr>
      <w:r>
        <w:rPr>
          <w:rFonts w:hint="eastAsia" w:ascii="宋体" w:hAnsi="宋体"/>
          <w:color w:val="auto"/>
          <w:kern w:val="28"/>
          <w:sz w:val="28"/>
          <w:szCs w:val="28"/>
        </w:rPr>
        <w:t>2.4.</w:t>
      </w:r>
      <w:r>
        <w:rPr>
          <w:rFonts w:ascii="宋体" w:hAnsi="宋体"/>
          <w:color w:val="auto"/>
          <w:kern w:val="28"/>
          <w:sz w:val="28"/>
          <w:szCs w:val="28"/>
        </w:rPr>
        <w:t>2</w:t>
      </w:r>
      <w:r>
        <w:rPr>
          <w:rFonts w:hint="eastAsia" w:ascii="宋体" w:hAnsi="宋体"/>
          <w:color w:val="auto"/>
          <w:kern w:val="28"/>
          <w:sz w:val="28"/>
          <w:szCs w:val="28"/>
        </w:rPr>
        <w:t>建设规模及工作制度</w:t>
      </w:r>
    </w:p>
    <w:p>
      <w:pPr>
        <w:widowControl/>
        <w:spacing w:line="500" w:lineRule="exact"/>
        <w:ind w:firstLine="482" w:firstLineChars="200"/>
        <w:rPr>
          <w:rFonts w:ascii="宋体" w:hAnsi="宋体"/>
          <w:b/>
          <w:color w:val="auto"/>
          <w:sz w:val="24"/>
        </w:rPr>
      </w:pPr>
      <w:r>
        <w:rPr>
          <w:rFonts w:hint="eastAsia" w:ascii="宋体" w:hAnsi="宋体"/>
          <w:b/>
          <w:color w:val="auto"/>
          <w:sz w:val="24"/>
        </w:rPr>
        <w:t>1）</w:t>
      </w:r>
      <w:r>
        <w:rPr>
          <w:rFonts w:ascii="宋体" w:hAnsi="宋体"/>
          <w:b/>
          <w:color w:val="auto"/>
          <w:sz w:val="24"/>
        </w:rPr>
        <w:t>地质储量及范围</w:t>
      </w:r>
    </w:p>
    <w:p>
      <w:pPr>
        <w:widowControl/>
        <w:spacing w:line="500" w:lineRule="exact"/>
        <w:ind w:firstLine="480" w:firstLineChars="200"/>
        <w:rPr>
          <w:rFonts w:ascii="宋体" w:hAnsi="宋体"/>
          <w:color w:val="auto"/>
          <w:sz w:val="24"/>
        </w:rPr>
      </w:pPr>
      <w:r>
        <w:rPr>
          <w:rFonts w:hint="eastAsia" w:ascii="宋体" w:hAnsi="宋体" w:cs="宋体"/>
          <w:color w:val="auto"/>
          <w:sz w:val="24"/>
        </w:rPr>
        <w:t>根据《兴宁市守元矿业有限公司军营高岭土矿分公司2022年度矿山储量动态检测报告》（广东煤炭地质一五二勘探队，2023年5月），截止2023年2月26日，本次矿区范围内累计查明陶瓷用高岭土矿资源储量294.29kt，历年采耗资源量为65.25kt；矿山保有资源量229.04kt，其中：保有控制资源量150.44kt，保有推断资源量78.60kt。</w:t>
      </w:r>
    </w:p>
    <w:p>
      <w:pPr>
        <w:widowControl/>
        <w:spacing w:line="500" w:lineRule="exact"/>
        <w:ind w:firstLine="482" w:firstLineChars="200"/>
        <w:rPr>
          <w:rFonts w:ascii="宋体" w:hAnsi="宋体"/>
          <w:b/>
          <w:color w:val="auto"/>
          <w:sz w:val="24"/>
        </w:rPr>
      </w:pPr>
      <w:r>
        <w:rPr>
          <w:rFonts w:hint="eastAsia" w:ascii="宋体" w:hAnsi="宋体"/>
          <w:b/>
          <w:color w:val="auto"/>
          <w:sz w:val="24"/>
        </w:rPr>
        <w:t>2）设计利用储量</w:t>
      </w:r>
    </w:p>
    <w:p>
      <w:pPr>
        <w:widowControl/>
        <w:spacing w:line="500" w:lineRule="exact"/>
        <w:ind w:firstLine="480" w:firstLineChars="200"/>
        <w:rPr>
          <w:rFonts w:ascii="宋体" w:hAnsi="宋体"/>
          <w:color w:val="auto"/>
          <w:sz w:val="24"/>
        </w:rPr>
      </w:pPr>
      <w:r>
        <w:rPr>
          <w:rFonts w:hint="eastAsia" w:ascii="宋体" w:hAnsi="宋体"/>
          <w:color w:val="auto"/>
          <w:sz w:val="24"/>
        </w:rPr>
        <w:t>根据可行性研究报告，矿山可利用资源量为</w:t>
      </w:r>
      <w:r>
        <w:rPr>
          <w:rFonts w:ascii="宋体" w:hAnsi="宋体"/>
          <w:color w:val="auto"/>
          <w:sz w:val="24"/>
        </w:rPr>
        <w:t>22.9</w:t>
      </w:r>
      <w:r>
        <w:rPr>
          <w:rFonts w:hint="eastAsia" w:ascii="宋体" w:hAnsi="宋体"/>
          <w:color w:val="auto"/>
          <w:sz w:val="24"/>
        </w:rPr>
        <w:t>万t。</w:t>
      </w:r>
    </w:p>
    <w:p>
      <w:pPr>
        <w:widowControl/>
        <w:spacing w:line="500" w:lineRule="exact"/>
        <w:ind w:firstLine="482" w:firstLineChars="200"/>
        <w:rPr>
          <w:rFonts w:ascii="宋体" w:hAnsi="宋体"/>
          <w:b/>
          <w:color w:val="auto"/>
          <w:sz w:val="24"/>
        </w:rPr>
      </w:pPr>
      <w:r>
        <w:rPr>
          <w:rFonts w:ascii="宋体" w:hAnsi="宋体"/>
          <w:b/>
          <w:color w:val="auto"/>
          <w:sz w:val="24"/>
        </w:rPr>
        <w:t>3</w:t>
      </w:r>
      <w:r>
        <w:rPr>
          <w:rFonts w:hint="eastAsia" w:ascii="宋体" w:hAnsi="宋体"/>
          <w:b/>
          <w:color w:val="auto"/>
          <w:sz w:val="24"/>
        </w:rPr>
        <w:t>）设计采出储量</w:t>
      </w:r>
    </w:p>
    <w:p>
      <w:pPr>
        <w:widowControl/>
        <w:spacing w:line="500" w:lineRule="exact"/>
        <w:ind w:firstLine="480" w:firstLineChars="200"/>
        <w:rPr>
          <w:rFonts w:ascii="宋体" w:hAnsi="宋体"/>
          <w:color w:val="auto"/>
          <w:sz w:val="24"/>
        </w:rPr>
      </w:pPr>
      <w:r>
        <w:rPr>
          <w:rFonts w:hint="eastAsia" w:ascii="宋体" w:hAnsi="宋体"/>
          <w:color w:val="auto"/>
          <w:sz w:val="24"/>
        </w:rPr>
        <w:t>根据可行性研究报告，矿山可采储量为20.71万t。</w:t>
      </w:r>
    </w:p>
    <w:p>
      <w:pPr>
        <w:widowControl/>
        <w:spacing w:line="500" w:lineRule="exact"/>
        <w:ind w:firstLine="482" w:firstLineChars="200"/>
        <w:rPr>
          <w:rFonts w:ascii="宋体" w:hAnsi="宋体"/>
          <w:b/>
          <w:color w:val="auto"/>
          <w:sz w:val="24"/>
        </w:rPr>
      </w:pPr>
      <w:r>
        <w:rPr>
          <w:rFonts w:ascii="宋体" w:hAnsi="宋体"/>
          <w:b/>
          <w:color w:val="auto"/>
          <w:sz w:val="24"/>
        </w:rPr>
        <w:t>4</w:t>
      </w:r>
      <w:r>
        <w:rPr>
          <w:rFonts w:hint="eastAsia" w:ascii="宋体" w:hAnsi="宋体"/>
          <w:b/>
          <w:color w:val="auto"/>
          <w:sz w:val="24"/>
        </w:rPr>
        <w:t>）建设规模</w:t>
      </w:r>
    </w:p>
    <w:p>
      <w:pPr>
        <w:widowControl/>
        <w:spacing w:line="500" w:lineRule="exact"/>
        <w:ind w:firstLine="480" w:firstLineChars="200"/>
        <w:rPr>
          <w:rFonts w:ascii="宋体" w:hAnsi="宋体"/>
          <w:color w:val="auto"/>
          <w:sz w:val="24"/>
        </w:rPr>
      </w:pPr>
      <w:r>
        <w:rPr>
          <w:rFonts w:hint="eastAsia" w:ascii="宋体" w:hAnsi="宋体"/>
          <w:color w:val="auto"/>
          <w:sz w:val="24"/>
        </w:rPr>
        <w:t>根据可行性研究报告及</w:t>
      </w:r>
      <w:r>
        <w:rPr>
          <w:rFonts w:ascii="宋体" w:hAnsi="宋体"/>
          <w:color w:val="auto"/>
          <w:sz w:val="24"/>
        </w:rPr>
        <w:t>《采矿许可证》</w:t>
      </w:r>
      <w:r>
        <w:rPr>
          <w:rFonts w:hint="eastAsia" w:ascii="宋体" w:hAnsi="宋体"/>
          <w:color w:val="auto"/>
          <w:sz w:val="24"/>
        </w:rPr>
        <w:t>，矿山建设规模为5万t/年。</w:t>
      </w:r>
    </w:p>
    <w:p>
      <w:pPr>
        <w:widowControl/>
        <w:spacing w:line="500" w:lineRule="exact"/>
        <w:ind w:firstLine="482" w:firstLineChars="200"/>
        <w:rPr>
          <w:rFonts w:ascii="宋体" w:hAnsi="宋体"/>
          <w:b/>
          <w:color w:val="auto"/>
          <w:sz w:val="24"/>
        </w:rPr>
      </w:pPr>
      <w:r>
        <w:rPr>
          <w:rFonts w:ascii="宋体" w:hAnsi="宋体"/>
          <w:b/>
          <w:color w:val="auto"/>
          <w:sz w:val="24"/>
        </w:rPr>
        <w:t>5</w:t>
      </w:r>
      <w:r>
        <w:rPr>
          <w:rFonts w:hint="eastAsia" w:ascii="宋体" w:hAnsi="宋体"/>
          <w:b/>
          <w:color w:val="auto"/>
          <w:sz w:val="24"/>
        </w:rPr>
        <w:t>）服务年限</w:t>
      </w:r>
    </w:p>
    <w:p>
      <w:pPr>
        <w:widowControl/>
        <w:spacing w:line="500" w:lineRule="exact"/>
        <w:ind w:firstLine="480" w:firstLineChars="200"/>
        <w:rPr>
          <w:rFonts w:ascii="宋体" w:hAnsi="宋体"/>
          <w:color w:val="auto"/>
          <w:sz w:val="24"/>
        </w:rPr>
      </w:pPr>
      <w:r>
        <w:rPr>
          <w:rFonts w:hint="eastAsia" w:ascii="宋体" w:hAnsi="宋体"/>
          <w:color w:val="auto"/>
          <w:sz w:val="24"/>
        </w:rPr>
        <w:t>根据可行性研究报告，矿山总服务年限约</w:t>
      </w:r>
      <w:r>
        <w:rPr>
          <w:rFonts w:ascii="宋体" w:hAnsi="宋体"/>
          <w:color w:val="auto"/>
          <w:sz w:val="24"/>
        </w:rPr>
        <w:t>5.6</w:t>
      </w:r>
      <w:r>
        <w:rPr>
          <w:rFonts w:hint="eastAsia" w:ascii="宋体" w:hAnsi="宋体"/>
          <w:color w:val="auto"/>
          <w:sz w:val="24"/>
        </w:rPr>
        <w:t>年。</w:t>
      </w:r>
    </w:p>
    <w:p>
      <w:pPr>
        <w:widowControl/>
        <w:spacing w:line="500" w:lineRule="exact"/>
        <w:ind w:firstLine="482" w:firstLineChars="200"/>
        <w:rPr>
          <w:rFonts w:ascii="宋体" w:hAnsi="宋体"/>
          <w:b/>
          <w:color w:val="auto"/>
          <w:sz w:val="24"/>
        </w:rPr>
      </w:pPr>
      <w:r>
        <w:rPr>
          <w:rFonts w:ascii="宋体" w:hAnsi="宋体"/>
          <w:b/>
          <w:color w:val="auto"/>
          <w:sz w:val="24"/>
        </w:rPr>
        <w:t>6</w:t>
      </w:r>
      <w:r>
        <w:rPr>
          <w:rFonts w:hint="eastAsia" w:ascii="宋体" w:hAnsi="宋体"/>
          <w:b/>
          <w:color w:val="auto"/>
          <w:sz w:val="24"/>
        </w:rPr>
        <w:t>）产品方案</w:t>
      </w:r>
    </w:p>
    <w:p>
      <w:pPr>
        <w:widowControl/>
        <w:spacing w:line="500" w:lineRule="exact"/>
        <w:ind w:firstLine="480" w:firstLineChars="200"/>
        <w:rPr>
          <w:rFonts w:ascii="宋体" w:hAnsi="宋体"/>
          <w:color w:val="auto"/>
          <w:sz w:val="24"/>
        </w:rPr>
      </w:pPr>
      <w:r>
        <w:rPr>
          <w:rFonts w:hint="eastAsia" w:ascii="宋体" w:hAnsi="宋体"/>
          <w:color w:val="auto"/>
          <w:sz w:val="24"/>
        </w:rPr>
        <w:t>根据可行性研究报告，矿山产品方案为石英斑岩经风化形成的陶瓷用高岭土。</w:t>
      </w:r>
    </w:p>
    <w:p>
      <w:pPr>
        <w:widowControl/>
        <w:spacing w:line="500" w:lineRule="exact"/>
        <w:ind w:firstLine="482" w:firstLineChars="200"/>
        <w:rPr>
          <w:rFonts w:ascii="宋体" w:hAnsi="宋体"/>
          <w:b/>
          <w:color w:val="auto"/>
          <w:sz w:val="24"/>
        </w:rPr>
      </w:pPr>
      <w:r>
        <w:rPr>
          <w:rFonts w:ascii="宋体" w:hAnsi="宋体"/>
          <w:b/>
          <w:color w:val="auto"/>
          <w:sz w:val="24"/>
        </w:rPr>
        <w:t>7</w:t>
      </w:r>
      <w:r>
        <w:rPr>
          <w:rFonts w:hint="eastAsia" w:ascii="宋体" w:hAnsi="宋体"/>
          <w:b/>
          <w:color w:val="auto"/>
          <w:sz w:val="24"/>
        </w:rPr>
        <w:t>）工作制度</w:t>
      </w:r>
    </w:p>
    <w:p>
      <w:pPr>
        <w:widowControl/>
        <w:spacing w:line="500" w:lineRule="exact"/>
        <w:ind w:firstLine="456" w:firstLineChars="200"/>
        <w:rPr>
          <w:rFonts w:ascii="宋体" w:hAnsi="宋体"/>
          <w:color w:val="auto"/>
          <w:sz w:val="24"/>
        </w:rPr>
      </w:pPr>
      <w:r>
        <w:rPr>
          <w:rFonts w:hint="eastAsia" w:ascii="宋体" w:hAnsi="宋体"/>
          <w:color w:val="auto"/>
          <w:spacing w:val="-6"/>
          <w:sz w:val="24"/>
        </w:rPr>
        <w:t>根据可行性研究报告，矿山采用间断工作制度，年工作280d，每天1班，每班工作8h。</w:t>
      </w:r>
    </w:p>
    <w:p>
      <w:pPr>
        <w:pStyle w:val="5"/>
        <w:keepLines w:val="0"/>
        <w:widowControl/>
        <w:spacing w:before="120" w:after="120" w:line="500" w:lineRule="exact"/>
        <w:rPr>
          <w:rFonts w:ascii="宋体" w:hAnsi="宋体"/>
          <w:color w:val="auto"/>
          <w:kern w:val="28"/>
          <w:sz w:val="28"/>
          <w:szCs w:val="28"/>
        </w:rPr>
      </w:pPr>
      <w:r>
        <w:rPr>
          <w:rFonts w:hint="eastAsia" w:ascii="宋体" w:hAnsi="宋体"/>
          <w:color w:val="auto"/>
          <w:kern w:val="28"/>
          <w:sz w:val="28"/>
          <w:szCs w:val="28"/>
        </w:rPr>
        <w:t>2.4.</w:t>
      </w:r>
      <w:bookmarkEnd w:id="166"/>
      <w:bookmarkEnd w:id="167"/>
      <w:r>
        <w:rPr>
          <w:rFonts w:ascii="宋体" w:hAnsi="宋体"/>
          <w:color w:val="auto"/>
          <w:kern w:val="28"/>
          <w:sz w:val="28"/>
          <w:szCs w:val="28"/>
        </w:rPr>
        <w:t>3</w:t>
      </w:r>
      <w:r>
        <w:rPr>
          <w:rFonts w:hint="eastAsia" w:ascii="宋体" w:hAnsi="宋体"/>
          <w:color w:val="auto"/>
          <w:kern w:val="28"/>
          <w:sz w:val="28"/>
          <w:szCs w:val="28"/>
        </w:rPr>
        <w:t>总图运输</w:t>
      </w:r>
    </w:p>
    <w:p>
      <w:pPr>
        <w:widowControl/>
        <w:spacing w:line="500" w:lineRule="exact"/>
        <w:ind w:firstLine="480" w:firstLineChars="200"/>
        <w:rPr>
          <w:rFonts w:ascii="宋体" w:hAnsi="宋体"/>
          <w:color w:val="auto"/>
          <w:sz w:val="24"/>
        </w:rPr>
      </w:pPr>
      <w:r>
        <w:rPr>
          <w:rFonts w:hint="eastAsia" w:ascii="宋体" w:hAnsi="宋体"/>
          <w:color w:val="auto"/>
          <w:sz w:val="24"/>
        </w:rPr>
        <w:t>本次矿山总体布置与原有矿山总体布置一致；本次工程利用原有工程已开拓的简易道路以及采场进行布置，具体如下：</w:t>
      </w:r>
    </w:p>
    <w:p>
      <w:pPr>
        <w:widowControl/>
        <w:spacing w:line="500" w:lineRule="exact"/>
        <w:ind w:firstLine="482" w:firstLineChars="200"/>
        <w:rPr>
          <w:rFonts w:ascii="宋体" w:hAnsi="宋体"/>
          <w:b/>
          <w:color w:val="auto"/>
          <w:sz w:val="24"/>
        </w:rPr>
      </w:pPr>
      <w:r>
        <w:rPr>
          <w:rFonts w:hint="eastAsia" w:ascii="宋体" w:hAnsi="宋体"/>
          <w:b/>
          <w:color w:val="auto"/>
          <w:sz w:val="24"/>
        </w:rPr>
        <w:t>1）总体布置</w:t>
      </w:r>
    </w:p>
    <w:p>
      <w:pPr>
        <w:widowControl/>
        <w:spacing w:line="500" w:lineRule="exact"/>
        <w:ind w:firstLine="480" w:firstLineChars="200"/>
        <w:rPr>
          <w:rFonts w:ascii="宋体" w:hAnsi="宋体"/>
          <w:color w:val="auto"/>
          <w:sz w:val="24"/>
        </w:rPr>
      </w:pPr>
      <w:r>
        <w:rPr>
          <w:rFonts w:hint="eastAsia" w:ascii="宋体" w:hAnsi="宋体"/>
          <w:color w:val="auto"/>
          <w:sz w:val="24"/>
        </w:rPr>
        <w:t>企业为单一露天开采的采矿场，整个厂址平面布局围绕露天开采境界及开拓运输道路展开，分为生产设施、辅助生产设施、行政及生活福利设施等。</w:t>
      </w:r>
    </w:p>
    <w:p>
      <w:pPr>
        <w:widowControl/>
        <w:spacing w:line="500" w:lineRule="exact"/>
        <w:ind w:firstLine="482" w:firstLineChars="200"/>
        <w:rPr>
          <w:rFonts w:ascii="宋体" w:hAnsi="宋体"/>
          <w:b/>
          <w:color w:val="auto"/>
          <w:sz w:val="24"/>
        </w:rPr>
      </w:pPr>
      <w:r>
        <w:rPr>
          <w:rFonts w:hint="eastAsia" w:ascii="宋体" w:hAnsi="宋体"/>
          <w:b/>
          <w:color w:val="auto"/>
          <w:sz w:val="24"/>
        </w:rPr>
        <w:t>2）总平面布置</w:t>
      </w:r>
    </w:p>
    <w:p>
      <w:pPr>
        <w:widowControl/>
        <w:spacing w:line="500" w:lineRule="exact"/>
        <w:ind w:firstLine="480" w:firstLineChars="200"/>
        <w:rPr>
          <w:rFonts w:ascii="宋体" w:hAnsi="宋体"/>
          <w:color w:val="auto"/>
          <w:sz w:val="24"/>
        </w:rPr>
      </w:pPr>
      <w:r>
        <w:rPr>
          <w:rFonts w:hint="eastAsia" w:ascii="宋体" w:hAnsi="宋体"/>
          <w:color w:val="auto"/>
          <w:sz w:val="24"/>
        </w:rPr>
        <w:t>根据可行性研究报告的总平面布置图对矿山的总平面布置及设施情况详述如下：</w:t>
      </w:r>
    </w:p>
    <w:p>
      <w:pPr>
        <w:widowControl/>
        <w:spacing w:line="500" w:lineRule="exact"/>
        <w:ind w:firstLine="480" w:firstLineChars="200"/>
        <w:rPr>
          <w:rFonts w:ascii="宋体" w:hAnsi="宋体"/>
          <w:color w:val="auto"/>
          <w:sz w:val="24"/>
        </w:rPr>
      </w:pPr>
      <w:r>
        <w:rPr>
          <w:rFonts w:hint="eastAsia" w:ascii="宋体" w:hAnsi="宋体"/>
          <w:color w:val="auto"/>
          <w:sz w:val="24"/>
        </w:rPr>
        <w:t>（1）露天采场</w:t>
      </w:r>
    </w:p>
    <w:p>
      <w:pPr>
        <w:widowControl/>
        <w:spacing w:line="500" w:lineRule="exact"/>
        <w:ind w:firstLine="480" w:firstLineChars="200"/>
        <w:rPr>
          <w:rFonts w:ascii="宋体" w:hAnsi="宋体"/>
          <w:color w:val="auto"/>
          <w:sz w:val="24"/>
        </w:rPr>
      </w:pPr>
      <w:r>
        <w:rPr>
          <w:rFonts w:hint="eastAsia" w:ascii="宋体" w:hAnsi="宋体"/>
          <w:color w:val="auto"/>
          <w:sz w:val="24"/>
        </w:rPr>
        <w:t>矿区范围面积为0.1522km</w:t>
      </w:r>
      <w:r>
        <w:rPr>
          <w:rFonts w:hint="eastAsia" w:ascii="宋体" w:hAnsi="宋体"/>
          <w:color w:val="auto"/>
          <w:sz w:val="24"/>
          <w:vertAlign w:val="superscript"/>
        </w:rPr>
        <w:t>2</w:t>
      </w:r>
      <w:r>
        <w:rPr>
          <w:rFonts w:hint="eastAsia" w:ascii="宋体" w:hAnsi="宋体"/>
          <w:color w:val="auto"/>
          <w:sz w:val="24"/>
        </w:rPr>
        <w:t>，实际开采深度为+324m～+275m标高。</w:t>
      </w:r>
    </w:p>
    <w:p>
      <w:pPr>
        <w:widowControl/>
        <w:spacing w:line="500" w:lineRule="exact"/>
        <w:ind w:firstLine="480" w:firstLineChars="200"/>
        <w:rPr>
          <w:rFonts w:ascii="宋体" w:hAnsi="宋体"/>
          <w:color w:val="auto"/>
          <w:sz w:val="24"/>
        </w:rPr>
      </w:pPr>
      <w:r>
        <w:rPr>
          <w:rFonts w:hint="eastAsia" w:ascii="宋体" w:hAnsi="宋体"/>
          <w:color w:val="auto"/>
          <w:sz w:val="24"/>
        </w:rPr>
        <w:t>露天采场挖损地均为林地。</w:t>
      </w:r>
    </w:p>
    <w:p>
      <w:pPr>
        <w:widowControl/>
        <w:spacing w:line="500" w:lineRule="exact"/>
        <w:ind w:firstLine="480" w:firstLineChars="200"/>
        <w:rPr>
          <w:rFonts w:ascii="宋体" w:hAnsi="宋体"/>
          <w:color w:val="auto"/>
          <w:sz w:val="24"/>
        </w:rPr>
      </w:pPr>
      <w:r>
        <w:rPr>
          <w:rFonts w:hint="eastAsia" w:ascii="宋体" w:hAnsi="宋体"/>
          <w:color w:val="auto"/>
          <w:sz w:val="24"/>
        </w:rPr>
        <w:t>（2）排土场</w:t>
      </w:r>
    </w:p>
    <w:p>
      <w:pPr>
        <w:widowControl/>
        <w:spacing w:line="500" w:lineRule="exact"/>
        <w:ind w:firstLine="480" w:firstLineChars="200"/>
        <w:rPr>
          <w:rFonts w:ascii="宋体" w:hAnsi="宋体"/>
          <w:color w:val="auto"/>
          <w:sz w:val="24"/>
        </w:rPr>
      </w:pPr>
      <w:r>
        <w:rPr>
          <w:rFonts w:hint="eastAsia" w:ascii="宋体" w:hAnsi="宋体"/>
          <w:color w:val="auto"/>
          <w:sz w:val="24"/>
        </w:rPr>
        <w:t>排土场拟设在矿区采场东北翼沟谷，排土场压占面积约1.32万m</w:t>
      </w:r>
      <w:r>
        <w:rPr>
          <w:rFonts w:hint="eastAsia" w:ascii="宋体" w:hAnsi="宋体"/>
          <w:color w:val="auto"/>
          <w:sz w:val="24"/>
          <w:vertAlign w:val="superscript"/>
        </w:rPr>
        <w:t>2</w:t>
      </w:r>
      <w:r>
        <w:rPr>
          <w:rFonts w:hint="eastAsia" w:ascii="宋体" w:hAnsi="宋体"/>
          <w:color w:val="auto"/>
          <w:sz w:val="24"/>
        </w:rPr>
        <w:t>。</w:t>
      </w:r>
    </w:p>
    <w:p>
      <w:pPr>
        <w:widowControl/>
        <w:spacing w:line="500" w:lineRule="exact"/>
        <w:ind w:firstLine="480" w:firstLineChars="200"/>
        <w:rPr>
          <w:rFonts w:ascii="宋体" w:hAnsi="宋体"/>
          <w:color w:val="auto"/>
          <w:sz w:val="24"/>
        </w:rPr>
      </w:pPr>
      <w:r>
        <w:rPr>
          <w:rFonts w:hint="eastAsia" w:ascii="宋体" w:hAnsi="宋体"/>
          <w:color w:val="auto"/>
          <w:sz w:val="24"/>
        </w:rPr>
        <w:t>（3）办公生活区</w:t>
      </w:r>
    </w:p>
    <w:p>
      <w:pPr>
        <w:widowControl/>
        <w:spacing w:line="500" w:lineRule="exact"/>
        <w:ind w:firstLine="480" w:firstLineChars="200"/>
        <w:rPr>
          <w:rFonts w:ascii="宋体" w:hAnsi="宋体"/>
          <w:color w:val="auto"/>
          <w:sz w:val="24"/>
        </w:rPr>
      </w:pPr>
      <w:r>
        <w:rPr>
          <w:rFonts w:hint="eastAsia" w:ascii="宋体" w:hAnsi="宋体"/>
          <w:color w:val="auto"/>
          <w:sz w:val="24"/>
        </w:rPr>
        <w:t>矿区北面约60m的征用民居作办公生活区，位于进矿道路的西侧。办公生活区内设置行政办公楼、员工宿舍、医务室、食堂、文娱设施等，同时设置了总调度及监控室。</w:t>
      </w:r>
    </w:p>
    <w:p>
      <w:pPr>
        <w:widowControl/>
        <w:spacing w:line="500" w:lineRule="exact"/>
        <w:ind w:firstLine="480" w:firstLineChars="200"/>
        <w:rPr>
          <w:rFonts w:ascii="宋体" w:hAnsi="宋体"/>
          <w:color w:val="auto"/>
          <w:sz w:val="24"/>
        </w:rPr>
      </w:pPr>
      <w:r>
        <w:rPr>
          <w:rFonts w:hint="eastAsia" w:ascii="宋体" w:hAnsi="宋体"/>
          <w:color w:val="auto"/>
          <w:sz w:val="24"/>
        </w:rPr>
        <w:t>（4）机修车间</w:t>
      </w:r>
    </w:p>
    <w:p>
      <w:pPr>
        <w:widowControl/>
        <w:spacing w:line="500" w:lineRule="exact"/>
        <w:ind w:firstLine="480" w:firstLineChars="200"/>
        <w:rPr>
          <w:rFonts w:ascii="宋体" w:hAnsi="宋体"/>
          <w:color w:val="auto"/>
          <w:sz w:val="24"/>
        </w:rPr>
      </w:pPr>
      <w:r>
        <w:rPr>
          <w:rFonts w:hint="eastAsia" w:ascii="宋体" w:hAnsi="宋体"/>
          <w:color w:val="auto"/>
          <w:sz w:val="24"/>
        </w:rPr>
        <w:t>位于办公生活区北面，直线距离办公生活区仅约20m。其布置了小型机修、汽修设施。负责矿山机械设备、汽车等日常维护及修理工作。同时还设置仓库，便于设备零件库存，存取方便。另外，利用车间一角，设壁挂式配电箱，全矿配电。</w:t>
      </w:r>
    </w:p>
    <w:p>
      <w:pPr>
        <w:widowControl/>
        <w:spacing w:line="500" w:lineRule="exact"/>
        <w:ind w:firstLine="480" w:firstLineChars="200"/>
        <w:rPr>
          <w:rFonts w:ascii="宋体" w:hAnsi="宋体"/>
          <w:color w:val="auto"/>
          <w:sz w:val="24"/>
        </w:rPr>
      </w:pPr>
      <w:r>
        <w:rPr>
          <w:rFonts w:hint="eastAsia" w:ascii="宋体" w:hAnsi="宋体"/>
          <w:color w:val="auto"/>
          <w:sz w:val="24"/>
        </w:rPr>
        <w:t>（5）储油罐</w:t>
      </w:r>
    </w:p>
    <w:p>
      <w:pPr>
        <w:widowControl/>
        <w:spacing w:line="500" w:lineRule="exact"/>
        <w:ind w:firstLine="480" w:firstLineChars="200"/>
        <w:rPr>
          <w:rFonts w:ascii="宋体" w:hAnsi="宋体"/>
          <w:color w:val="auto"/>
          <w:sz w:val="24"/>
        </w:rPr>
      </w:pPr>
      <w:r>
        <w:rPr>
          <w:rFonts w:hint="eastAsia" w:ascii="宋体" w:hAnsi="宋体"/>
          <w:color w:val="auto"/>
          <w:sz w:val="24"/>
        </w:rPr>
        <w:t>由于该矿用油设备较多，挖掘机、汽车、铲运机、推土机等均采用柴油驱动，因此，为了保证矿山的正常运行，拟设容量不大于10吨的储油罐布置在进矿道路的西侧，办公及生活区的正北方向，距办公及生活区最近距离大于50m。</w:t>
      </w:r>
    </w:p>
    <w:p>
      <w:pPr>
        <w:widowControl/>
        <w:spacing w:line="500" w:lineRule="exact"/>
        <w:ind w:firstLine="482" w:firstLineChars="200"/>
        <w:rPr>
          <w:rFonts w:ascii="宋体" w:hAnsi="宋体"/>
          <w:b/>
          <w:color w:val="auto"/>
          <w:sz w:val="24"/>
        </w:rPr>
      </w:pPr>
      <w:r>
        <w:rPr>
          <w:rFonts w:hint="eastAsia" w:ascii="宋体" w:hAnsi="宋体"/>
          <w:b/>
          <w:color w:val="auto"/>
          <w:sz w:val="24"/>
        </w:rPr>
        <w:t>3）内外部运输</w:t>
      </w:r>
    </w:p>
    <w:p>
      <w:pPr>
        <w:widowControl/>
        <w:spacing w:line="500" w:lineRule="exact"/>
        <w:ind w:firstLine="480" w:firstLineChars="200"/>
        <w:rPr>
          <w:rFonts w:ascii="宋体" w:hAnsi="宋体"/>
          <w:color w:val="auto"/>
          <w:sz w:val="24"/>
        </w:rPr>
      </w:pPr>
      <w:r>
        <w:rPr>
          <w:rFonts w:hint="eastAsia" w:ascii="宋体" w:hAnsi="宋体"/>
          <w:color w:val="auto"/>
          <w:sz w:val="24"/>
        </w:rPr>
        <w:t>本矿场采用挖掘机采剥、公路开拓、汽车运输的开拓运输方案，矿石在采场装车后直接由自卸汽车运至堆场。</w:t>
      </w:r>
    </w:p>
    <w:p>
      <w:pPr>
        <w:widowControl/>
        <w:spacing w:line="500" w:lineRule="exact"/>
        <w:ind w:firstLine="480" w:firstLineChars="200"/>
        <w:rPr>
          <w:rFonts w:ascii="宋体" w:hAnsi="宋体"/>
          <w:color w:val="auto"/>
          <w:sz w:val="24"/>
        </w:rPr>
      </w:pPr>
      <w:r>
        <w:rPr>
          <w:rFonts w:hint="eastAsia" w:ascii="宋体" w:hAnsi="宋体"/>
          <w:color w:val="auto"/>
          <w:sz w:val="24"/>
        </w:rPr>
        <w:t>矿区内道路进行修整时应达到以下矿山道路标准：平曲线半径不小于15m，纵坡不大于10%，采用泥结碎石等面层类型的路面标准，路面宽度3m，汽车拐弯处设置不小于20m的缓坡段。道路内侧设截水沟，高边坡路段外侧砌筑挡车垛。道路施工及维护应根据矿山三级道路标准进行施工及维护。对以公路开拓－汽车运输的露天矿来说，矿山道路影响着矿山的工作效率，因此必须配备专门的人员进行道路安全及维护，配备相关的设备（例如洒水车、平路机等），一般单班作业。</w:t>
      </w:r>
    </w:p>
    <w:p>
      <w:pPr>
        <w:widowControl/>
        <w:spacing w:line="500" w:lineRule="exact"/>
        <w:ind w:firstLine="480" w:firstLineChars="200"/>
        <w:rPr>
          <w:rFonts w:ascii="宋体" w:hAnsi="宋体"/>
          <w:color w:val="auto"/>
          <w:sz w:val="24"/>
        </w:rPr>
      </w:pPr>
      <w:r>
        <w:rPr>
          <w:rFonts w:hint="eastAsia" w:ascii="宋体" w:hAnsi="宋体"/>
          <w:color w:val="auto"/>
          <w:sz w:val="24"/>
        </w:rPr>
        <w:t>正常生产期矿岩运输采用20t自卸汽车，矿山生产所需的设备、材料的运输，全部由社会运力承担。</w:t>
      </w:r>
    </w:p>
    <w:p>
      <w:pPr>
        <w:pStyle w:val="5"/>
        <w:keepLines w:val="0"/>
        <w:widowControl/>
        <w:spacing w:before="120" w:after="120" w:line="500" w:lineRule="exact"/>
        <w:rPr>
          <w:rFonts w:ascii="宋体" w:hAnsi="宋体"/>
          <w:color w:val="auto"/>
          <w:kern w:val="28"/>
          <w:sz w:val="28"/>
          <w:szCs w:val="28"/>
        </w:rPr>
      </w:pPr>
      <w:r>
        <w:rPr>
          <w:rFonts w:hint="eastAsia" w:ascii="宋体" w:hAnsi="宋体"/>
          <w:color w:val="auto"/>
          <w:kern w:val="28"/>
          <w:sz w:val="28"/>
          <w:szCs w:val="28"/>
        </w:rPr>
        <w:t>2.4.</w:t>
      </w:r>
      <w:r>
        <w:rPr>
          <w:rFonts w:ascii="宋体" w:hAnsi="宋体"/>
          <w:color w:val="auto"/>
          <w:kern w:val="28"/>
          <w:sz w:val="28"/>
          <w:szCs w:val="28"/>
        </w:rPr>
        <w:t>4</w:t>
      </w:r>
      <w:r>
        <w:rPr>
          <w:rFonts w:hint="eastAsia" w:ascii="宋体" w:hAnsi="宋体"/>
          <w:color w:val="auto"/>
          <w:kern w:val="28"/>
          <w:sz w:val="28"/>
          <w:szCs w:val="28"/>
        </w:rPr>
        <w:t>开采范围</w:t>
      </w:r>
    </w:p>
    <w:p>
      <w:pPr>
        <w:widowControl/>
        <w:spacing w:line="500" w:lineRule="exact"/>
        <w:ind w:firstLine="480" w:firstLineChars="200"/>
        <w:rPr>
          <w:rFonts w:ascii="宋体" w:hAnsi="宋体"/>
          <w:color w:val="auto"/>
          <w:sz w:val="24"/>
        </w:rPr>
      </w:pPr>
      <w:r>
        <w:rPr>
          <w:rFonts w:hint="eastAsia" w:ascii="宋体" w:hAnsi="宋体"/>
          <w:color w:val="auto"/>
          <w:sz w:val="24"/>
        </w:rPr>
        <w:t>矿山采用自上而下，分台阶露天开采，首采平台位于矿区东部，</w:t>
      </w:r>
      <w:r>
        <w:rPr>
          <w:rFonts w:ascii="宋体" w:hAnsi="宋体"/>
          <w:color w:val="auto"/>
          <w:sz w:val="24"/>
        </w:rPr>
        <w:t>矿区范围拐点坐标如下</w:t>
      </w:r>
      <w:r>
        <w:rPr>
          <w:rFonts w:hint="eastAsia" w:ascii="宋体" w:hAnsi="宋体"/>
          <w:color w:val="auto"/>
          <w:sz w:val="24"/>
        </w:rPr>
        <w:t>表</w:t>
      </w:r>
      <w:r>
        <w:rPr>
          <w:rFonts w:ascii="宋体" w:hAnsi="宋体"/>
          <w:color w:val="auto"/>
          <w:sz w:val="24"/>
        </w:rPr>
        <w:t>2.4-1：</w:t>
      </w:r>
    </w:p>
    <w:p>
      <w:pPr>
        <w:widowControl/>
        <w:spacing w:line="500" w:lineRule="exact"/>
        <w:jc w:val="center"/>
        <w:outlineLvl w:val="4"/>
        <w:rPr>
          <w:rFonts w:ascii="宋体" w:hAnsi="宋体"/>
          <w:b/>
          <w:color w:val="auto"/>
          <w:sz w:val="24"/>
        </w:rPr>
      </w:pPr>
      <w:r>
        <w:rPr>
          <w:rFonts w:ascii="宋体" w:hAnsi="宋体"/>
          <w:b/>
          <w:color w:val="auto"/>
          <w:sz w:val="24"/>
        </w:rPr>
        <w:t>表2.4-1 矿区范围拐点直角坐标表</w:t>
      </w:r>
      <w:r>
        <w:rPr>
          <w:rFonts w:hint="eastAsia" w:ascii="宋体" w:hAnsi="宋体"/>
          <w:b/>
          <w:color w:val="auto"/>
          <w:sz w:val="24"/>
        </w:rPr>
        <w:t>（2000国家大地坐标系）</w:t>
      </w:r>
    </w:p>
    <w:tbl>
      <w:tblPr>
        <w:tblStyle w:val="41"/>
        <w:tblW w:w="85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6"/>
        <w:gridCol w:w="1734"/>
        <w:gridCol w:w="1934"/>
        <w:gridCol w:w="876"/>
        <w:gridCol w:w="1546"/>
        <w:gridCol w:w="16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olor w:val="auto"/>
                <w:szCs w:val="21"/>
              </w:rPr>
            </w:pPr>
            <w:r>
              <w:rPr>
                <w:rFonts w:hint="eastAsia" w:ascii="宋体" w:hAnsi="宋体"/>
                <w:color w:val="auto"/>
                <w:szCs w:val="21"/>
              </w:rPr>
              <w:t>点号</w:t>
            </w:r>
          </w:p>
        </w:tc>
        <w:tc>
          <w:tcPr>
            <w:tcW w:w="173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olor w:val="auto"/>
                <w:szCs w:val="21"/>
              </w:rPr>
            </w:pPr>
            <w:r>
              <w:rPr>
                <w:rFonts w:ascii="宋体" w:hAnsi="宋体"/>
                <w:color w:val="auto"/>
                <w:szCs w:val="21"/>
              </w:rPr>
              <w:t>X</w:t>
            </w:r>
          </w:p>
        </w:tc>
        <w:tc>
          <w:tcPr>
            <w:tcW w:w="193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olor w:val="auto"/>
                <w:szCs w:val="21"/>
              </w:rPr>
            </w:pPr>
            <w:r>
              <w:rPr>
                <w:rFonts w:ascii="宋体" w:hAnsi="宋体"/>
                <w:color w:val="auto"/>
                <w:szCs w:val="21"/>
              </w:rPr>
              <w:t>Y</w:t>
            </w:r>
          </w:p>
        </w:tc>
        <w:tc>
          <w:tcPr>
            <w:tcW w:w="87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olor w:val="auto"/>
                <w:szCs w:val="21"/>
              </w:rPr>
            </w:pPr>
            <w:r>
              <w:rPr>
                <w:rFonts w:hint="eastAsia" w:ascii="宋体" w:hAnsi="宋体"/>
                <w:color w:val="auto"/>
                <w:szCs w:val="21"/>
              </w:rPr>
              <w:t>点号</w:t>
            </w:r>
          </w:p>
        </w:tc>
        <w:tc>
          <w:tcPr>
            <w:tcW w:w="154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olor w:val="auto"/>
                <w:szCs w:val="21"/>
              </w:rPr>
            </w:pPr>
            <w:r>
              <w:rPr>
                <w:rFonts w:ascii="宋体" w:hAnsi="宋体"/>
                <w:color w:val="auto"/>
                <w:szCs w:val="21"/>
              </w:rPr>
              <w:t>X</w:t>
            </w:r>
          </w:p>
        </w:tc>
        <w:tc>
          <w:tcPr>
            <w:tcW w:w="16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olor w:val="auto"/>
                <w:szCs w:val="21"/>
              </w:rPr>
            </w:pPr>
            <w:r>
              <w:rPr>
                <w:rFonts w:ascii="宋体" w:hAnsi="宋体"/>
                <w:color w:val="auto"/>
                <w:szCs w:val="21"/>
              </w:rPr>
              <w:t>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olor w:val="auto"/>
                <w:szCs w:val="21"/>
              </w:rPr>
            </w:pPr>
            <w:r>
              <w:rPr>
                <w:rFonts w:ascii="宋体" w:hAnsi="宋体"/>
                <w:color w:val="auto"/>
                <w:szCs w:val="21"/>
              </w:rPr>
              <w:t>1</w:t>
            </w:r>
          </w:p>
        </w:tc>
        <w:tc>
          <w:tcPr>
            <w:tcW w:w="173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olor w:val="auto"/>
                <w:szCs w:val="21"/>
              </w:rPr>
            </w:pPr>
            <w:r>
              <w:rPr>
                <w:rFonts w:ascii="宋体" w:hAnsi="宋体"/>
                <w:color w:val="auto"/>
                <w:szCs w:val="21"/>
              </w:rPr>
              <w:t>2645942.00</w:t>
            </w:r>
          </w:p>
        </w:tc>
        <w:tc>
          <w:tcPr>
            <w:tcW w:w="193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olor w:val="auto"/>
                <w:szCs w:val="21"/>
              </w:rPr>
            </w:pPr>
            <w:r>
              <w:rPr>
                <w:rFonts w:ascii="宋体" w:hAnsi="宋体"/>
                <w:color w:val="auto"/>
                <w:szCs w:val="21"/>
              </w:rPr>
              <w:t>39388974.00</w:t>
            </w:r>
          </w:p>
        </w:tc>
        <w:tc>
          <w:tcPr>
            <w:tcW w:w="87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olor w:val="auto"/>
                <w:szCs w:val="21"/>
              </w:rPr>
            </w:pPr>
            <w:r>
              <w:rPr>
                <w:rFonts w:ascii="宋体" w:hAnsi="宋体"/>
                <w:color w:val="auto"/>
                <w:szCs w:val="21"/>
              </w:rPr>
              <w:t>2</w:t>
            </w:r>
          </w:p>
        </w:tc>
        <w:tc>
          <w:tcPr>
            <w:tcW w:w="154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olor w:val="auto"/>
                <w:szCs w:val="21"/>
              </w:rPr>
            </w:pPr>
            <w:r>
              <w:rPr>
                <w:rFonts w:ascii="宋体" w:hAnsi="宋体"/>
                <w:color w:val="auto"/>
                <w:szCs w:val="21"/>
              </w:rPr>
              <w:t>2646044.00</w:t>
            </w:r>
          </w:p>
        </w:tc>
        <w:tc>
          <w:tcPr>
            <w:tcW w:w="16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olor w:val="auto"/>
                <w:szCs w:val="21"/>
              </w:rPr>
            </w:pPr>
            <w:r>
              <w:rPr>
                <w:rFonts w:ascii="宋体" w:hAnsi="宋体"/>
                <w:color w:val="auto"/>
                <w:szCs w:val="21"/>
              </w:rPr>
              <w:t>39389222.00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olor w:val="auto"/>
                <w:szCs w:val="21"/>
              </w:rPr>
            </w:pPr>
            <w:r>
              <w:rPr>
                <w:rFonts w:ascii="宋体" w:hAnsi="宋体"/>
                <w:color w:val="auto"/>
                <w:szCs w:val="21"/>
              </w:rPr>
              <w:t>3</w:t>
            </w:r>
          </w:p>
        </w:tc>
        <w:tc>
          <w:tcPr>
            <w:tcW w:w="173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olor w:val="auto"/>
                <w:szCs w:val="21"/>
              </w:rPr>
            </w:pPr>
            <w:r>
              <w:rPr>
                <w:rFonts w:ascii="宋体" w:hAnsi="宋体"/>
                <w:color w:val="auto"/>
                <w:szCs w:val="21"/>
              </w:rPr>
              <w:t>2645784.00</w:t>
            </w:r>
          </w:p>
        </w:tc>
        <w:tc>
          <w:tcPr>
            <w:tcW w:w="193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olor w:val="auto"/>
                <w:szCs w:val="21"/>
              </w:rPr>
            </w:pPr>
            <w:r>
              <w:rPr>
                <w:rFonts w:ascii="宋体" w:hAnsi="宋体"/>
                <w:color w:val="auto"/>
                <w:szCs w:val="21"/>
              </w:rPr>
              <w:t>39389444.00</w:t>
            </w:r>
          </w:p>
        </w:tc>
        <w:tc>
          <w:tcPr>
            <w:tcW w:w="87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olor w:val="auto"/>
                <w:szCs w:val="21"/>
              </w:rPr>
            </w:pPr>
            <w:r>
              <w:rPr>
                <w:rFonts w:ascii="宋体" w:hAnsi="宋体"/>
                <w:color w:val="auto"/>
                <w:szCs w:val="21"/>
              </w:rPr>
              <w:t>4</w:t>
            </w:r>
          </w:p>
        </w:tc>
        <w:tc>
          <w:tcPr>
            <w:tcW w:w="154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olor w:val="auto"/>
                <w:szCs w:val="21"/>
              </w:rPr>
            </w:pPr>
            <w:r>
              <w:rPr>
                <w:rFonts w:ascii="宋体" w:hAnsi="宋体"/>
                <w:color w:val="auto"/>
                <w:szCs w:val="21"/>
              </w:rPr>
              <w:t>2645664.00</w:t>
            </w:r>
          </w:p>
        </w:tc>
        <w:tc>
          <w:tcPr>
            <w:tcW w:w="16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olor w:val="auto"/>
                <w:szCs w:val="21"/>
              </w:rPr>
            </w:pPr>
            <w:r>
              <w:rPr>
                <w:rFonts w:ascii="宋体" w:hAnsi="宋体"/>
                <w:color w:val="auto"/>
                <w:szCs w:val="21"/>
              </w:rPr>
              <w:t>39389290.00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74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olor w:val="auto"/>
                <w:szCs w:val="21"/>
              </w:rPr>
            </w:pPr>
            <w:r>
              <w:rPr>
                <w:rFonts w:hint="eastAsia" w:ascii="宋体" w:hAnsi="宋体"/>
                <w:color w:val="auto"/>
                <w:szCs w:val="21"/>
              </w:rPr>
              <w:t>5</w:t>
            </w:r>
          </w:p>
        </w:tc>
        <w:tc>
          <w:tcPr>
            <w:tcW w:w="173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olor w:val="auto"/>
                <w:szCs w:val="21"/>
              </w:rPr>
            </w:pPr>
            <w:r>
              <w:rPr>
                <w:rFonts w:ascii="宋体" w:hAnsi="宋体"/>
                <w:color w:val="auto"/>
                <w:szCs w:val="21"/>
              </w:rPr>
              <w:t>2645510.00</w:t>
            </w:r>
          </w:p>
        </w:tc>
        <w:tc>
          <w:tcPr>
            <w:tcW w:w="1934"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olor w:val="auto"/>
                <w:szCs w:val="21"/>
              </w:rPr>
            </w:pPr>
            <w:r>
              <w:rPr>
                <w:rFonts w:ascii="宋体" w:hAnsi="宋体"/>
                <w:color w:val="auto"/>
                <w:szCs w:val="21"/>
              </w:rPr>
              <w:t>39388974.00</w:t>
            </w:r>
          </w:p>
        </w:tc>
        <w:tc>
          <w:tcPr>
            <w:tcW w:w="87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olor w:val="auto"/>
                <w:szCs w:val="21"/>
              </w:rPr>
            </w:pPr>
          </w:p>
        </w:tc>
        <w:tc>
          <w:tcPr>
            <w:tcW w:w="154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olor w:val="auto"/>
                <w:szCs w:val="21"/>
              </w:rPr>
            </w:pPr>
          </w:p>
        </w:tc>
        <w:tc>
          <w:tcPr>
            <w:tcW w:w="1686" w:type="dxa"/>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522" w:type="dxa"/>
            <w:gridSpan w:val="6"/>
            <w:tcBorders>
              <w:top w:val="single" w:color="auto" w:sz="4" w:space="0"/>
              <w:left w:val="single" w:color="auto" w:sz="4" w:space="0"/>
              <w:bottom w:val="single" w:color="auto" w:sz="4" w:space="0"/>
              <w:right w:val="single" w:color="auto" w:sz="4" w:space="0"/>
            </w:tcBorders>
            <w:vAlign w:val="center"/>
          </w:tcPr>
          <w:p>
            <w:pPr>
              <w:widowControl/>
              <w:spacing w:line="240" w:lineRule="exact"/>
              <w:jc w:val="center"/>
              <w:rPr>
                <w:rFonts w:ascii="宋体" w:hAnsi="宋体"/>
                <w:color w:val="auto"/>
                <w:szCs w:val="21"/>
              </w:rPr>
            </w:pPr>
            <w:r>
              <w:rPr>
                <w:rFonts w:hint="eastAsia" w:ascii="宋体" w:hAnsi="宋体"/>
                <w:color w:val="auto"/>
                <w:kern w:val="21"/>
                <w:szCs w:val="21"/>
              </w:rPr>
              <w:t>实际开采深度：由+324m至+275m，矿区面积：0.1522km</w:t>
            </w:r>
            <w:r>
              <w:rPr>
                <w:rFonts w:hint="eastAsia" w:ascii="宋体" w:hAnsi="宋体"/>
                <w:color w:val="auto"/>
                <w:kern w:val="21"/>
                <w:szCs w:val="21"/>
                <w:vertAlign w:val="superscript"/>
              </w:rPr>
              <w:t>2</w:t>
            </w:r>
          </w:p>
        </w:tc>
      </w:tr>
    </w:tbl>
    <w:p>
      <w:pPr>
        <w:pStyle w:val="5"/>
        <w:keepLines w:val="0"/>
        <w:widowControl/>
        <w:spacing w:before="120" w:after="120" w:line="500" w:lineRule="exact"/>
        <w:rPr>
          <w:rFonts w:ascii="宋体" w:hAnsi="宋体"/>
          <w:color w:val="auto"/>
          <w:kern w:val="28"/>
          <w:sz w:val="28"/>
          <w:szCs w:val="28"/>
        </w:rPr>
      </w:pPr>
      <w:r>
        <w:rPr>
          <w:rFonts w:hint="eastAsia" w:ascii="宋体" w:hAnsi="宋体"/>
          <w:color w:val="auto"/>
          <w:kern w:val="28"/>
          <w:sz w:val="28"/>
          <w:szCs w:val="28"/>
        </w:rPr>
        <w:t>2.4.</w:t>
      </w:r>
      <w:r>
        <w:rPr>
          <w:rFonts w:ascii="宋体" w:hAnsi="宋体"/>
          <w:color w:val="auto"/>
          <w:kern w:val="28"/>
          <w:sz w:val="28"/>
          <w:szCs w:val="28"/>
        </w:rPr>
        <w:t>5</w:t>
      </w:r>
      <w:r>
        <w:rPr>
          <w:rFonts w:hint="eastAsia" w:ascii="宋体" w:hAnsi="宋体"/>
          <w:color w:val="auto"/>
          <w:kern w:val="28"/>
          <w:sz w:val="28"/>
          <w:szCs w:val="28"/>
        </w:rPr>
        <w:t>开拓运输</w:t>
      </w:r>
    </w:p>
    <w:p>
      <w:pPr>
        <w:widowControl/>
        <w:spacing w:line="500" w:lineRule="exact"/>
        <w:ind w:firstLine="480" w:firstLineChars="200"/>
        <w:rPr>
          <w:rFonts w:ascii="宋体" w:hAnsi="宋体"/>
          <w:color w:val="auto"/>
          <w:sz w:val="24"/>
        </w:rPr>
      </w:pPr>
      <w:bookmarkStart w:id="168" w:name="_Toc233881367"/>
      <w:bookmarkStart w:id="169" w:name="_Toc213727822"/>
      <w:r>
        <w:rPr>
          <w:rFonts w:hint="eastAsia" w:ascii="宋体" w:hAnsi="宋体"/>
          <w:color w:val="auto"/>
          <w:sz w:val="24"/>
        </w:rPr>
        <w:t>1）开拓系统</w:t>
      </w:r>
    </w:p>
    <w:p>
      <w:pPr>
        <w:widowControl/>
        <w:spacing w:line="500" w:lineRule="exact"/>
        <w:ind w:firstLine="480" w:firstLineChars="200"/>
        <w:rPr>
          <w:rFonts w:ascii="宋体" w:hAnsi="宋体"/>
          <w:color w:val="auto"/>
          <w:sz w:val="24"/>
        </w:rPr>
      </w:pPr>
      <w:r>
        <w:rPr>
          <w:rFonts w:hint="eastAsia" w:ascii="宋体" w:hAnsi="宋体"/>
          <w:color w:val="auto"/>
          <w:sz w:val="24"/>
        </w:rPr>
        <w:t>根据本矿山特点，选用挖掘机采剥、公路开拓、汽车运输的开拓运输方案，以达到机动灵活，组织简单，缩短基建时间的目的。</w:t>
      </w:r>
    </w:p>
    <w:p>
      <w:pPr>
        <w:widowControl/>
        <w:spacing w:line="500" w:lineRule="exact"/>
        <w:ind w:firstLine="480" w:firstLineChars="200"/>
        <w:rPr>
          <w:rFonts w:ascii="宋体" w:hAnsi="宋体"/>
          <w:color w:val="auto"/>
          <w:sz w:val="24"/>
        </w:rPr>
      </w:pPr>
      <w:r>
        <w:rPr>
          <w:rFonts w:hint="eastAsia" w:ascii="宋体" w:hAnsi="宋体"/>
          <w:color w:val="auto"/>
          <w:sz w:val="24"/>
        </w:rPr>
        <w:t>开采境界内生产水平全部为山坡露天。矿区内部开拓运输以场内移动路堑为主。设计在采场北翼布置进矿上山道路，从进矿公路分支，沿山势开拓至305m标高，采用临时路堑至顶部剥离台阶，自上而下进行剥离采矿。矿山各开采和运输设备直接进入各工作水平，各水平的矿石在工作平台上装运，用挖掘机装上自卸汽车运输至矿石堆场。</w:t>
      </w:r>
    </w:p>
    <w:p>
      <w:pPr>
        <w:widowControl/>
        <w:spacing w:line="500" w:lineRule="exact"/>
        <w:ind w:firstLine="480" w:firstLineChars="200"/>
        <w:rPr>
          <w:rFonts w:ascii="宋体" w:hAnsi="宋体"/>
          <w:color w:val="auto"/>
          <w:sz w:val="24"/>
        </w:rPr>
      </w:pPr>
      <w:r>
        <w:rPr>
          <w:rFonts w:hint="eastAsia" w:ascii="宋体" w:hAnsi="宋体"/>
          <w:color w:val="auto"/>
          <w:sz w:val="24"/>
        </w:rPr>
        <w:t>根据可行性研究报告，矿山内部运输道路按三级道路设计，最小曲线半径15m，最大纵坡不超过10%，路面宽度</w:t>
      </w:r>
      <w:r>
        <w:rPr>
          <w:rFonts w:ascii="宋体" w:hAnsi="宋体"/>
          <w:color w:val="auto"/>
          <w:sz w:val="24"/>
        </w:rPr>
        <w:t>3</w:t>
      </w:r>
      <w:r>
        <w:rPr>
          <w:rFonts w:hint="eastAsia" w:ascii="宋体" w:hAnsi="宋体"/>
          <w:color w:val="auto"/>
          <w:sz w:val="24"/>
        </w:rPr>
        <w:t>m，转弯段外侧设置防护墙拦并适当加宽路面道路和竖立路标警示。</w:t>
      </w:r>
    </w:p>
    <w:p>
      <w:pPr>
        <w:widowControl/>
        <w:spacing w:line="500" w:lineRule="exact"/>
        <w:ind w:firstLine="480" w:firstLineChars="200"/>
        <w:rPr>
          <w:rFonts w:ascii="宋体" w:hAnsi="宋体"/>
          <w:color w:val="auto"/>
          <w:sz w:val="24"/>
        </w:rPr>
      </w:pPr>
      <w:r>
        <w:rPr>
          <w:rFonts w:hint="eastAsia" w:ascii="宋体" w:hAnsi="宋体"/>
          <w:color w:val="auto"/>
          <w:sz w:val="24"/>
        </w:rPr>
        <w:t>2）运输系统</w:t>
      </w:r>
    </w:p>
    <w:p>
      <w:pPr>
        <w:widowControl/>
        <w:spacing w:line="500" w:lineRule="exact"/>
        <w:ind w:firstLine="480" w:firstLineChars="200"/>
        <w:rPr>
          <w:rFonts w:ascii="宋体" w:hAnsi="宋体"/>
          <w:color w:val="auto"/>
          <w:sz w:val="24"/>
        </w:rPr>
      </w:pPr>
      <w:r>
        <w:rPr>
          <w:rFonts w:hint="eastAsia" w:ascii="宋体" w:hAnsi="宋体"/>
          <w:color w:val="auto"/>
          <w:sz w:val="24"/>
        </w:rPr>
        <w:t>矿山配备2台</w:t>
      </w:r>
      <w:r>
        <w:rPr>
          <w:rFonts w:ascii="宋体" w:hAnsi="宋体"/>
          <w:color w:val="auto"/>
          <w:sz w:val="24"/>
        </w:rPr>
        <w:t>2</w:t>
      </w:r>
      <w:r>
        <w:rPr>
          <w:rFonts w:hint="eastAsia" w:ascii="宋体" w:hAnsi="宋体"/>
          <w:color w:val="auto"/>
          <w:sz w:val="24"/>
        </w:rPr>
        <w:t>0t自卸汽车运输，2台</w:t>
      </w:r>
      <w:r>
        <w:rPr>
          <w:rFonts w:ascii="宋体" w:hAnsi="宋体"/>
          <w:color w:val="auto"/>
          <w:sz w:val="24"/>
        </w:rPr>
        <w:t>1.0</w:t>
      </w:r>
      <w:r>
        <w:rPr>
          <w:rFonts w:hint="eastAsia" w:ascii="宋体" w:hAnsi="宋体"/>
          <w:color w:val="auto"/>
          <w:sz w:val="24"/>
        </w:rPr>
        <w:t>m³挖掘机。</w:t>
      </w:r>
      <w:r>
        <w:rPr>
          <w:rFonts w:hint="eastAsia" w:ascii="宋体" w:hAnsi="宋体"/>
          <w:bCs/>
          <w:color w:val="auto"/>
          <w:sz w:val="24"/>
        </w:rPr>
        <w:t>运输方案选择</w:t>
      </w:r>
      <w:r>
        <w:rPr>
          <w:rFonts w:hint="eastAsia" w:ascii="宋体" w:hAnsi="宋体"/>
          <w:color w:val="auto"/>
          <w:sz w:val="24"/>
        </w:rPr>
        <w:t>采用“挖掘机及铲装机械的挖、装—汽车运输”方案进行采、装、运。</w:t>
      </w:r>
    </w:p>
    <w:p>
      <w:pPr>
        <w:pStyle w:val="5"/>
        <w:keepLines w:val="0"/>
        <w:widowControl/>
        <w:spacing w:before="120" w:after="120" w:line="500" w:lineRule="exact"/>
        <w:rPr>
          <w:rFonts w:ascii="宋体" w:hAnsi="宋体"/>
          <w:color w:val="auto"/>
          <w:kern w:val="28"/>
          <w:sz w:val="28"/>
          <w:szCs w:val="28"/>
        </w:rPr>
      </w:pPr>
      <w:r>
        <w:rPr>
          <w:rFonts w:hint="eastAsia" w:ascii="宋体" w:hAnsi="宋体"/>
          <w:color w:val="auto"/>
          <w:kern w:val="28"/>
          <w:sz w:val="28"/>
          <w:szCs w:val="28"/>
        </w:rPr>
        <w:t>2.4.</w:t>
      </w:r>
      <w:r>
        <w:rPr>
          <w:rFonts w:ascii="宋体" w:hAnsi="宋体"/>
          <w:color w:val="auto"/>
          <w:kern w:val="28"/>
          <w:sz w:val="28"/>
          <w:szCs w:val="28"/>
        </w:rPr>
        <w:t>6</w:t>
      </w:r>
      <w:r>
        <w:rPr>
          <w:rFonts w:hint="eastAsia" w:ascii="宋体" w:hAnsi="宋体"/>
          <w:color w:val="auto"/>
          <w:kern w:val="28"/>
          <w:sz w:val="28"/>
          <w:szCs w:val="28"/>
        </w:rPr>
        <w:t>采矿工艺</w:t>
      </w:r>
    </w:p>
    <w:p>
      <w:pPr>
        <w:pStyle w:val="6"/>
        <w:keepLines w:val="0"/>
        <w:widowControl/>
        <w:spacing w:before="0" w:after="0" w:line="500" w:lineRule="exact"/>
        <w:rPr>
          <w:rFonts w:ascii="宋体" w:hAnsi="宋体" w:eastAsia="宋体"/>
          <w:color w:val="auto"/>
          <w:kern w:val="28"/>
        </w:rPr>
      </w:pPr>
      <w:r>
        <w:rPr>
          <w:rFonts w:ascii="宋体" w:hAnsi="宋体" w:eastAsia="宋体"/>
          <w:color w:val="auto"/>
          <w:kern w:val="28"/>
        </w:rPr>
        <w:t>2.4.6.1露天开采境界圈定结果</w:t>
      </w:r>
    </w:p>
    <w:p>
      <w:pPr>
        <w:widowControl/>
        <w:spacing w:line="500" w:lineRule="exact"/>
        <w:ind w:firstLine="480" w:firstLineChars="200"/>
        <w:rPr>
          <w:rFonts w:ascii="宋体" w:hAnsi="宋体"/>
          <w:color w:val="auto"/>
          <w:sz w:val="24"/>
        </w:rPr>
      </w:pPr>
      <w:r>
        <w:rPr>
          <w:rFonts w:hint="eastAsia" w:ascii="宋体" w:hAnsi="宋体"/>
          <w:color w:val="auto"/>
          <w:sz w:val="24"/>
        </w:rPr>
        <w:t>根据矿区范围、矿体产状、矿区地质条件及矿山开采技术条件，采用山坡露天开采方式。</w:t>
      </w:r>
    </w:p>
    <w:p>
      <w:pPr>
        <w:widowControl/>
        <w:spacing w:line="500" w:lineRule="exact"/>
        <w:ind w:firstLine="480" w:firstLineChars="200"/>
        <w:rPr>
          <w:rFonts w:ascii="宋体" w:hAnsi="宋体"/>
          <w:color w:val="auto"/>
          <w:sz w:val="24"/>
        </w:rPr>
      </w:pPr>
      <w:r>
        <w:rPr>
          <w:rFonts w:hint="eastAsia" w:ascii="宋体" w:hAnsi="宋体"/>
          <w:color w:val="auto"/>
          <w:sz w:val="24"/>
        </w:rPr>
        <w:t>采矿许可证核定开采深度为+375m～+250m标高，采矿许可证核定矿区范围内地形最大标高为+324m，设计采场最大剥离标高为+324m，设计开采最低标高+275m。</w:t>
      </w:r>
    </w:p>
    <w:p>
      <w:pPr>
        <w:widowControl/>
        <w:spacing w:line="500" w:lineRule="exact"/>
        <w:jc w:val="center"/>
        <w:outlineLvl w:val="4"/>
        <w:rPr>
          <w:rFonts w:ascii="宋体" w:hAnsi="宋体"/>
          <w:b/>
          <w:color w:val="auto"/>
          <w:sz w:val="24"/>
        </w:rPr>
      </w:pPr>
      <w:r>
        <w:rPr>
          <w:rFonts w:ascii="宋体" w:hAnsi="宋体"/>
          <w:b/>
          <w:color w:val="auto"/>
          <w:sz w:val="24"/>
        </w:rPr>
        <w:t>表2.4-2 露天开采终了境界圈定结果表</w:t>
      </w:r>
    </w:p>
    <w:tbl>
      <w:tblPr>
        <w:tblStyle w:val="41"/>
        <w:tblW w:w="90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51"/>
        <w:gridCol w:w="1675"/>
        <w:gridCol w:w="2915"/>
        <w:gridCol w:w="1345"/>
        <w:gridCol w:w="1353"/>
        <w:gridCol w:w="91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851" w:type="dxa"/>
            <w:noWrap/>
            <w:vAlign w:val="center"/>
          </w:tcPr>
          <w:p>
            <w:pPr>
              <w:widowControl/>
              <w:jc w:val="center"/>
              <w:rPr>
                <w:rFonts w:ascii="宋体" w:hAnsi="宋体"/>
                <w:b/>
                <w:bCs/>
                <w:color w:val="auto"/>
                <w:kern w:val="21"/>
                <w:szCs w:val="21"/>
              </w:rPr>
            </w:pPr>
            <w:r>
              <w:rPr>
                <w:rFonts w:ascii="宋体" w:hAnsi="宋体"/>
                <w:b/>
                <w:bCs/>
                <w:color w:val="auto"/>
                <w:kern w:val="21"/>
                <w:szCs w:val="21"/>
              </w:rPr>
              <w:t>序号</w:t>
            </w:r>
          </w:p>
        </w:tc>
        <w:tc>
          <w:tcPr>
            <w:tcW w:w="4590" w:type="dxa"/>
            <w:gridSpan w:val="2"/>
            <w:noWrap/>
            <w:vAlign w:val="center"/>
          </w:tcPr>
          <w:p>
            <w:pPr>
              <w:widowControl/>
              <w:jc w:val="center"/>
              <w:rPr>
                <w:rFonts w:ascii="宋体" w:hAnsi="宋体"/>
                <w:b/>
                <w:bCs/>
                <w:color w:val="auto"/>
                <w:kern w:val="21"/>
                <w:szCs w:val="21"/>
              </w:rPr>
            </w:pPr>
            <w:r>
              <w:rPr>
                <w:rFonts w:ascii="宋体" w:hAnsi="宋体"/>
                <w:b/>
                <w:bCs/>
                <w:color w:val="auto"/>
                <w:kern w:val="21"/>
                <w:szCs w:val="21"/>
              </w:rPr>
              <w:t>项目</w:t>
            </w:r>
          </w:p>
        </w:tc>
        <w:tc>
          <w:tcPr>
            <w:tcW w:w="1345" w:type="dxa"/>
            <w:noWrap/>
            <w:vAlign w:val="center"/>
          </w:tcPr>
          <w:p>
            <w:pPr>
              <w:widowControl/>
              <w:jc w:val="center"/>
              <w:rPr>
                <w:rFonts w:ascii="宋体" w:hAnsi="宋体"/>
                <w:b/>
                <w:bCs/>
                <w:color w:val="auto"/>
                <w:kern w:val="21"/>
                <w:szCs w:val="21"/>
              </w:rPr>
            </w:pPr>
            <w:r>
              <w:rPr>
                <w:rFonts w:ascii="宋体" w:hAnsi="宋体"/>
                <w:b/>
                <w:bCs/>
                <w:color w:val="auto"/>
                <w:kern w:val="21"/>
                <w:szCs w:val="21"/>
              </w:rPr>
              <w:t>单位</w:t>
            </w:r>
          </w:p>
        </w:tc>
        <w:tc>
          <w:tcPr>
            <w:tcW w:w="1353" w:type="dxa"/>
            <w:noWrap/>
            <w:vAlign w:val="center"/>
          </w:tcPr>
          <w:p>
            <w:pPr>
              <w:widowControl/>
              <w:jc w:val="center"/>
              <w:rPr>
                <w:rFonts w:ascii="宋体" w:hAnsi="宋体"/>
                <w:b/>
                <w:bCs/>
                <w:color w:val="auto"/>
                <w:kern w:val="21"/>
                <w:szCs w:val="21"/>
              </w:rPr>
            </w:pPr>
            <w:r>
              <w:rPr>
                <w:rFonts w:ascii="宋体" w:hAnsi="宋体"/>
                <w:b/>
                <w:bCs/>
                <w:color w:val="auto"/>
                <w:kern w:val="21"/>
                <w:szCs w:val="21"/>
              </w:rPr>
              <w:t>参数</w:t>
            </w:r>
          </w:p>
        </w:tc>
        <w:tc>
          <w:tcPr>
            <w:tcW w:w="918" w:type="dxa"/>
            <w:noWrap/>
            <w:vAlign w:val="center"/>
          </w:tcPr>
          <w:p>
            <w:pPr>
              <w:widowControl/>
              <w:jc w:val="center"/>
              <w:rPr>
                <w:rFonts w:ascii="宋体" w:hAnsi="宋体"/>
                <w:b/>
                <w:bCs/>
                <w:color w:val="auto"/>
                <w:kern w:val="21"/>
                <w:szCs w:val="21"/>
              </w:rPr>
            </w:pPr>
            <w:r>
              <w:rPr>
                <w:rFonts w:ascii="宋体" w:hAnsi="宋体"/>
                <w:b/>
                <w:bCs/>
                <w:color w:val="auto"/>
                <w:kern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851" w:type="dxa"/>
            <w:noWrap/>
            <w:vAlign w:val="center"/>
          </w:tcPr>
          <w:p>
            <w:pPr>
              <w:widowControl/>
              <w:jc w:val="center"/>
              <w:rPr>
                <w:rFonts w:ascii="宋体" w:hAnsi="宋体"/>
                <w:color w:val="auto"/>
                <w:szCs w:val="21"/>
              </w:rPr>
            </w:pPr>
            <w:r>
              <w:rPr>
                <w:rFonts w:ascii="宋体" w:hAnsi="宋体"/>
                <w:color w:val="auto"/>
                <w:szCs w:val="21"/>
              </w:rPr>
              <w:t>1</w:t>
            </w:r>
          </w:p>
        </w:tc>
        <w:tc>
          <w:tcPr>
            <w:tcW w:w="4590" w:type="dxa"/>
            <w:gridSpan w:val="2"/>
            <w:noWrap/>
            <w:vAlign w:val="center"/>
          </w:tcPr>
          <w:p>
            <w:pPr>
              <w:widowControl/>
              <w:jc w:val="center"/>
              <w:rPr>
                <w:rFonts w:ascii="宋体" w:hAnsi="宋体"/>
                <w:color w:val="auto"/>
                <w:szCs w:val="21"/>
              </w:rPr>
            </w:pPr>
            <w:r>
              <w:rPr>
                <w:rFonts w:ascii="宋体" w:hAnsi="宋体"/>
                <w:color w:val="auto"/>
                <w:szCs w:val="21"/>
              </w:rPr>
              <w:t>采场上部面积</w:t>
            </w:r>
          </w:p>
        </w:tc>
        <w:tc>
          <w:tcPr>
            <w:tcW w:w="1345" w:type="dxa"/>
            <w:noWrap/>
            <w:vAlign w:val="center"/>
          </w:tcPr>
          <w:p>
            <w:pPr>
              <w:widowControl/>
              <w:jc w:val="center"/>
              <w:rPr>
                <w:rFonts w:ascii="宋体" w:hAnsi="宋体"/>
                <w:color w:val="auto"/>
                <w:szCs w:val="21"/>
              </w:rPr>
            </w:pPr>
            <w:r>
              <w:rPr>
                <w:rFonts w:ascii="宋体" w:hAnsi="宋体"/>
                <w:color w:val="auto"/>
                <w:szCs w:val="21"/>
              </w:rPr>
              <w:t>㎡</w:t>
            </w:r>
          </w:p>
        </w:tc>
        <w:tc>
          <w:tcPr>
            <w:tcW w:w="1353" w:type="dxa"/>
            <w:noWrap/>
            <w:vAlign w:val="center"/>
          </w:tcPr>
          <w:p>
            <w:pPr>
              <w:widowControl/>
              <w:jc w:val="center"/>
              <w:rPr>
                <w:rFonts w:ascii="宋体" w:hAnsi="宋体"/>
                <w:color w:val="auto"/>
                <w:szCs w:val="21"/>
              </w:rPr>
            </w:pPr>
            <w:r>
              <w:rPr>
                <w:rFonts w:ascii="宋体" w:hAnsi="宋体"/>
                <w:color w:val="auto"/>
                <w:szCs w:val="21"/>
              </w:rPr>
              <w:t>52538</w:t>
            </w:r>
          </w:p>
        </w:tc>
        <w:tc>
          <w:tcPr>
            <w:tcW w:w="918" w:type="dxa"/>
            <w:noWrap/>
            <w:vAlign w:val="center"/>
          </w:tcPr>
          <w:p>
            <w:pPr>
              <w:widowControl/>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851" w:type="dxa"/>
            <w:noWrap/>
            <w:vAlign w:val="center"/>
          </w:tcPr>
          <w:p>
            <w:pPr>
              <w:widowControl/>
              <w:jc w:val="center"/>
              <w:rPr>
                <w:rFonts w:ascii="宋体" w:hAnsi="宋体"/>
                <w:color w:val="auto"/>
                <w:szCs w:val="21"/>
              </w:rPr>
            </w:pPr>
            <w:r>
              <w:rPr>
                <w:rFonts w:ascii="宋体" w:hAnsi="宋体"/>
                <w:color w:val="auto"/>
                <w:szCs w:val="21"/>
              </w:rPr>
              <w:t>2</w:t>
            </w:r>
          </w:p>
        </w:tc>
        <w:tc>
          <w:tcPr>
            <w:tcW w:w="4590" w:type="dxa"/>
            <w:gridSpan w:val="2"/>
            <w:noWrap/>
            <w:vAlign w:val="center"/>
          </w:tcPr>
          <w:p>
            <w:pPr>
              <w:widowControl/>
              <w:jc w:val="center"/>
              <w:rPr>
                <w:rFonts w:ascii="宋体" w:hAnsi="宋体"/>
                <w:color w:val="auto"/>
                <w:szCs w:val="21"/>
              </w:rPr>
            </w:pPr>
            <w:r>
              <w:rPr>
                <w:rFonts w:ascii="宋体" w:hAnsi="宋体"/>
                <w:color w:val="auto"/>
                <w:szCs w:val="21"/>
              </w:rPr>
              <w:t>采场下部面积</w:t>
            </w:r>
          </w:p>
        </w:tc>
        <w:tc>
          <w:tcPr>
            <w:tcW w:w="1345" w:type="dxa"/>
            <w:noWrap/>
            <w:vAlign w:val="center"/>
          </w:tcPr>
          <w:p>
            <w:pPr>
              <w:widowControl/>
              <w:jc w:val="center"/>
              <w:rPr>
                <w:rFonts w:ascii="宋体" w:hAnsi="宋体"/>
                <w:color w:val="auto"/>
                <w:szCs w:val="21"/>
              </w:rPr>
            </w:pPr>
            <w:r>
              <w:rPr>
                <w:rFonts w:ascii="宋体" w:hAnsi="宋体"/>
                <w:color w:val="auto"/>
                <w:szCs w:val="21"/>
              </w:rPr>
              <w:t>㎡</w:t>
            </w:r>
          </w:p>
        </w:tc>
        <w:tc>
          <w:tcPr>
            <w:tcW w:w="1353" w:type="dxa"/>
            <w:noWrap/>
            <w:vAlign w:val="center"/>
          </w:tcPr>
          <w:p>
            <w:pPr>
              <w:widowControl/>
              <w:jc w:val="center"/>
              <w:rPr>
                <w:rFonts w:ascii="宋体" w:hAnsi="宋体"/>
                <w:color w:val="auto"/>
                <w:szCs w:val="21"/>
              </w:rPr>
            </w:pPr>
            <w:r>
              <w:rPr>
                <w:rFonts w:ascii="宋体" w:hAnsi="宋体"/>
                <w:color w:val="auto"/>
                <w:szCs w:val="21"/>
              </w:rPr>
              <w:t>5765</w:t>
            </w:r>
          </w:p>
        </w:tc>
        <w:tc>
          <w:tcPr>
            <w:tcW w:w="918" w:type="dxa"/>
            <w:noWrap/>
            <w:vAlign w:val="center"/>
          </w:tcPr>
          <w:p>
            <w:pPr>
              <w:widowControl/>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851" w:type="dxa"/>
            <w:noWrap/>
            <w:vAlign w:val="center"/>
          </w:tcPr>
          <w:p>
            <w:pPr>
              <w:widowControl/>
              <w:jc w:val="center"/>
              <w:rPr>
                <w:rFonts w:ascii="宋体" w:hAnsi="宋体"/>
                <w:color w:val="auto"/>
                <w:szCs w:val="21"/>
              </w:rPr>
            </w:pPr>
            <w:r>
              <w:rPr>
                <w:rFonts w:ascii="宋体" w:hAnsi="宋体"/>
                <w:color w:val="auto"/>
                <w:szCs w:val="21"/>
              </w:rPr>
              <w:t>3</w:t>
            </w:r>
          </w:p>
        </w:tc>
        <w:tc>
          <w:tcPr>
            <w:tcW w:w="4590" w:type="dxa"/>
            <w:gridSpan w:val="2"/>
            <w:noWrap/>
            <w:vAlign w:val="center"/>
          </w:tcPr>
          <w:p>
            <w:pPr>
              <w:widowControl/>
              <w:jc w:val="center"/>
              <w:rPr>
                <w:rFonts w:ascii="宋体" w:hAnsi="宋体"/>
                <w:color w:val="auto"/>
                <w:szCs w:val="21"/>
              </w:rPr>
            </w:pPr>
            <w:r>
              <w:rPr>
                <w:rFonts w:ascii="宋体" w:hAnsi="宋体"/>
                <w:color w:val="auto"/>
                <w:szCs w:val="21"/>
              </w:rPr>
              <w:t>采场顶部标高</w:t>
            </w:r>
          </w:p>
        </w:tc>
        <w:tc>
          <w:tcPr>
            <w:tcW w:w="1345" w:type="dxa"/>
            <w:noWrap/>
            <w:vAlign w:val="center"/>
          </w:tcPr>
          <w:p>
            <w:pPr>
              <w:widowControl/>
              <w:jc w:val="center"/>
              <w:rPr>
                <w:rFonts w:ascii="宋体" w:hAnsi="宋体"/>
                <w:color w:val="auto"/>
                <w:szCs w:val="21"/>
              </w:rPr>
            </w:pPr>
            <w:r>
              <w:rPr>
                <w:rFonts w:ascii="宋体" w:hAnsi="宋体"/>
                <w:color w:val="auto"/>
                <w:szCs w:val="21"/>
              </w:rPr>
              <w:t>m</w:t>
            </w:r>
          </w:p>
        </w:tc>
        <w:tc>
          <w:tcPr>
            <w:tcW w:w="1353" w:type="dxa"/>
            <w:noWrap/>
            <w:vAlign w:val="center"/>
          </w:tcPr>
          <w:p>
            <w:pPr>
              <w:widowControl/>
              <w:jc w:val="center"/>
              <w:rPr>
                <w:rFonts w:ascii="宋体" w:hAnsi="宋体"/>
                <w:color w:val="auto"/>
                <w:szCs w:val="21"/>
              </w:rPr>
            </w:pPr>
            <w:r>
              <w:rPr>
                <w:rFonts w:ascii="宋体" w:hAnsi="宋体"/>
                <w:color w:val="auto"/>
                <w:szCs w:val="21"/>
              </w:rPr>
              <w:t>+324</w:t>
            </w:r>
          </w:p>
        </w:tc>
        <w:tc>
          <w:tcPr>
            <w:tcW w:w="918" w:type="dxa"/>
            <w:noWrap/>
            <w:vAlign w:val="center"/>
          </w:tcPr>
          <w:p>
            <w:pPr>
              <w:widowControl/>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851" w:type="dxa"/>
            <w:noWrap/>
            <w:vAlign w:val="center"/>
          </w:tcPr>
          <w:p>
            <w:pPr>
              <w:widowControl/>
              <w:jc w:val="center"/>
              <w:rPr>
                <w:rFonts w:ascii="宋体" w:hAnsi="宋体"/>
                <w:color w:val="auto"/>
                <w:szCs w:val="21"/>
              </w:rPr>
            </w:pPr>
            <w:r>
              <w:rPr>
                <w:rFonts w:ascii="宋体" w:hAnsi="宋体"/>
                <w:color w:val="auto"/>
                <w:szCs w:val="21"/>
              </w:rPr>
              <w:t>4</w:t>
            </w:r>
          </w:p>
        </w:tc>
        <w:tc>
          <w:tcPr>
            <w:tcW w:w="4590" w:type="dxa"/>
            <w:gridSpan w:val="2"/>
            <w:noWrap/>
            <w:vAlign w:val="center"/>
          </w:tcPr>
          <w:p>
            <w:pPr>
              <w:widowControl/>
              <w:jc w:val="center"/>
              <w:rPr>
                <w:rFonts w:ascii="宋体" w:hAnsi="宋体"/>
                <w:color w:val="auto"/>
                <w:szCs w:val="21"/>
              </w:rPr>
            </w:pPr>
            <w:r>
              <w:rPr>
                <w:rFonts w:ascii="宋体" w:hAnsi="宋体"/>
                <w:color w:val="auto"/>
                <w:szCs w:val="21"/>
              </w:rPr>
              <w:t>采场底部标高</w:t>
            </w:r>
          </w:p>
        </w:tc>
        <w:tc>
          <w:tcPr>
            <w:tcW w:w="1345" w:type="dxa"/>
            <w:noWrap/>
            <w:vAlign w:val="center"/>
          </w:tcPr>
          <w:p>
            <w:pPr>
              <w:widowControl/>
              <w:jc w:val="center"/>
              <w:rPr>
                <w:rFonts w:ascii="宋体" w:hAnsi="宋体"/>
                <w:color w:val="auto"/>
                <w:szCs w:val="21"/>
              </w:rPr>
            </w:pPr>
            <w:r>
              <w:rPr>
                <w:rFonts w:ascii="宋体" w:hAnsi="宋体"/>
                <w:color w:val="auto"/>
                <w:szCs w:val="21"/>
              </w:rPr>
              <w:t>m</w:t>
            </w:r>
          </w:p>
        </w:tc>
        <w:tc>
          <w:tcPr>
            <w:tcW w:w="1353" w:type="dxa"/>
            <w:noWrap/>
            <w:vAlign w:val="center"/>
          </w:tcPr>
          <w:p>
            <w:pPr>
              <w:widowControl/>
              <w:jc w:val="center"/>
              <w:rPr>
                <w:rFonts w:ascii="宋体" w:hAnsi="宋体"/>
                <w:color w:val="auto"/>
                <w:szCs w:val="21"/>
              </w:rPr>
            </w:pPr>
            <w:r>
              <w:rPr>
                <w:rFonts w:ascii="宋体" w:hAnsi="宋体"/>
                <w:color w:val="auto"/>
                <w:szCs w:val="21"/>
              </w:rPr>
              <w:t>+275</w:t>
            </w:r>
          </w:p>
        </w:tc>
        <w:tc>
          <w:tcPr>
            <w:tcW w:w="918" w:type="dxa"/>
            <w:noWrap/>
            <w:vAlign w:val="center"/>
          </w:tcPr>
          <w:p>
            <w:pPr>
              <w:widowControl/>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851" w:type="dxa"/>
            <w:noWrap/>
            <w:vAlign w:val="center"/>
          </w:tcPr>
          <w:p>
            <w:pPr>
              <w:widowControl/>
              <w:jc w:val="center"/>
              <w:rPr>
                <w:rFonts w:ascii="宋体" w:hAnsi="宋体"/>
                <w:color w:val="auto"/>
                <w:szCs w:val="21"/>
              </w:rPr>
            </w:pPr>
            <w:r>
              <w:rPr>
                <w:rFonts w:ascii="宋体" w:hAnsi="宋体"/>
                <w:color w:val="auto"/>
                <w:szCs w:val="21"/>
              </w:rPr>
              <w:t>5</w:t>
            </w:r>
          </w:p>
        </w:tc>
        <w:tc>
          <w:tcPr>
            <w:tcW w:w="4590" w:type="dxa"/>
            <w:gridSpan w:val="2"/>
            <w:noWrap/>
            <w:vAlign w:val="center"/>
          </w:tcPr>
          <w:p>
            <w:pPr>
              <w:widowControl/>
              <w:jc w:val="center"/>
              <w:rPr>
                <w:rFonts w:ascii="宋体" w:hAnsi="宋体"/>
                <w:color w:val="auto"/>
                <w:szCs w:val="21"/>
              </w:rPr>
            </w:pPr>
            <w:r>
              <w:rPr>
                <w:rFonts w:ascii="宋体" w:hAnsi="宋体"/>
                <w:color w:val="auto"/>
                <w:szCs w:val="21"/>
              </w:rPr>
              <w:t>剥离量</w:t>
            </w:r>
          </w:p>
        </w:tc>
        <w:tc>
          <w:tcPr>
            <w:tcW w:w="1345" w:type="dxa"/>
            <w:noWrap/>
            <w:vAlign w:val="center"/>
          </w:tcPr>
          <w:p>
            <w:pPr>
              <w:widowControl/>
              <w:jc w:val="center"/>
              <w:rPr>
                <w:rFonts w:ascii="宋体" w:hAnsi="宋体"/>
                <w:color w:val="auto"/>
                <w:szCs w:val="21"/>
              </w:rPr>
            </w:pPr>
            <w:r>
              <w:rPr>
                <w:rFonts w:ascii="宋体" w:hAnsi="宋体"/>
                <w:color w:val="auto"/>
                <w:szCs w:val="21"/>
              </w:rPr>
              <w:t>万m</w:t>
            </w:r>
            <w:r>
              <w:rPr>
                <w:rFonts w:ascii="宋体" w:hAnsi="宋体"/>
                <w:color w:val="auto"/>
                <w:szCs w:val="21"/>
                <w:vertAlign w:val="superscript"/>
              </w:rPr>
              <w:t>3</w:t>
            </w:r>
          </w:p>
        </w:tc>
        <w:tc>
          <w:tcPr>
            <w:tcW w:w="1353" w:type="dxa"/>
            <w:noWrap/>
            <w:vAlign w:val="center"/>
          </w:tcPr>
          <w:p>
            <w:pPr>
              <w:widowControl/>
              <w:jc w:val="center"/>
              <w:rPr>
                <w:rFonts w:ascii="宋体" w:hAnsi="宋体"/>
                <w:color w:val="auto"/>
                <w:szCs w:val="21"/>
              </w:rPr>
            </w:pPr>
            <w:r>
              <w:rPr>
                <w:rFonts w:ascii="宋体" w:hAnsi="宋体"/>
                <w:color w:val="auto"/>
                <w:szCs w:val="21"/>
              </w:rPr>
              <w:t>0</w:t>
            </w:r>
          </w:p>
        </w:tc>
        <w:tc>
          <w:tcPr>
            <w:tcW w:w="918" w:type="dxa"/>
            <w:noWrap/>
            <w:vAlign w:val="center"/>
          </w:tcPr>
          <w:p>
            <w:pPr>
              <w:widowControl/>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851" w:type="dxa"/>
            <w:noWrap/>
            <w:vAlign w:val="center"/>
          </w:tcPr>
          <w:p>
            <w:pPr>
              <w:widowControl/>
              <w:jc w:val="center"/>
              <w:rPr>
                <w:rFonts w:ascii="宋体" w:hAnsi="宋体"/>
                <w:color w:val="auto"/>
                <w:szCs w:val="21"/>
              </w:rPr>
            </w:pPr>
            <w:r>
              <w:rPr>
                <w:rFonts w:ascii="宋体" w:hAnsi="宋体"/>
                <w:color w:val="auto"/>
                <w:szCs w:val="21"/>
              </w:rPr>
              <w:t>6</w:t>
            </w:r>
          </w:p>
        </w:tc>
        <w:tc>
          <w:tcPr>
            <w:tcW w:w="1675" w:type="dxa"/>
            <w:noWrap/>
            <w:vAlign w:val="center"/>
          </w:tcPr>
          <w:p>
            <w:pPr>
              <w:widowControl/>
              <w:jc w:val="center"/>
              <w:rPr>
                <w:rFonts w:ascii="宋体" w:hAnsi="宋体"/>
                <w:color w:val="auto"/>
                <w:szCs w:val="21"/>
              </w:rPr>
            </w:pPr>
            <w:r>
              <w:rPr>
                <w:rFonts w:ascii="宋体" w:hAnsi="宋体"/>
                <w:color w:val="auto"/>
                <w:szCs w:val="21"/>
              </w:rPr>
              <w:t>利用资源储量</w:t>
            </w:r>
          </w:p>
        </w:tc>
        <w:tc>
          <w:tcPr>
            <w:tcW w:w="2915" w:type="dxa"/>
            <w:vAlign w:val="center"/>
          </w:tcPr>
          <w:p>
            <w:pPr>
              <w:widowControl/>
              <w:jc w:val="center"/>
              <w:rPr>
                <w:rFonts w:ascii="宋体" w:hAnsi="宋体"/>
                <w:color w:val="auto"/>
                <w:szCs w:val="21"/>
              </w:rPr>
            </w:pPr>
            <w:r>
              <w:rPr>
                <w:rFonts w:hint="eastAsia" w:ascii="宋体" w:hAnsi="宋体"/>
                <w:color w:val="auto"/>
                <w:szCs w:val="21"/>
              </w:rPr>
              <w:t>高岭土</w:t>
            </w:r>
          </w:p>
        </w:tc>
        <w:tc>
          <w:tcPr>
            <w:tcW w:w="1345" w:type="dxa"/>
            <w:noWrap/>
            <w:vAlign w:val="center"/>
          </w:tcPr>
          <w:p>
            <w:pPr>
              <w:widowControl/>
              <w:jc w:val="center"/>
              <w:rPr>
                <w:rFonts w:ascii="宋体" w:hAnsi="宋体"/>
                <w:color w:val="auto"/>
                <w:szCs w:val="21"/>
              </w:rPr>
            </w:pPr>
            <w:r>
              <w:rPr>
                <w:rFonts w:ascii="宋体" w:hAnsi="宋体"/>
                <w:color w:val="auto"/>
                <w:szCs w:val="21"/>
              </w:rPr>
              <w:t>万t</w:t>
            </w:r>
          </w:p>
        </w:tc>
        <w:tc>
          <w:tcPr>
            <w:tcW w:w="1353" w:type="dxa"/>
            <w:noWrap/>
            <w:vAlign w:val="center"/>
          </w:tcPr>
          <w:p>
            <w:pPr>
              <w:widowControl/>
              <w:jc w:val="center"/>
              <w:rPr>
                <w:rFonts w:ascii="宋体" w:hAnsi="宋体"/>
                <w:color w:val="auto"/>
                <w:szCs w:val="21"/>
              </w:rPr>
            </w:pPr>
            <w:r>
              <w:rPr>
                <w:rFonts w:ascii="宋体" w:hAnsi="宋体"/>
                <w:color w:val="auto"/>
                <w:szCs w:val="21"/>
              </w:rPr>
              <w:t>2</w:t>
            </w:r>
            <w:r>
              <w:rPr>
                <w:rFonts w:hint="eastAsia" w:ascii="宋体" w:hAnsi="宋体"/>
                <w:color w:val="auto"/>
                <w:szCs w:val="21"/>
              </w:rPr>
              <w:t>2</w:t>
            </w:r>
            <w:r>
              <w:rPr>
                <w:rFonts w:ascii="宋体" w:hAnsi="宋体"/>
                <w:color w:val="auto"/>
                <w:szCs w:val="21"/>
              </w:rPr>
              <w:t>.</w:t>
            </w:r>
            <w:r>
              <w:rPr>
                <w:rFonts w:hint="eastAsia" w:ascii="宋体" w:hAnsi="宋体"/>
                <w:color w:val="auto"/>
                <w:szCs w:val="21"/>
              </w:rPr>
              <w:t>90</w:t>
            </w:r>
          </w:p>
        </w:tc>
        <w:tc>
          <w:tcPr>
            <w:tcW w:w="918" w:type="dxa"/>
            <w:noWrap/>
            <w:vAlign w:val="center"/>
          </w:tcPr>
          <w:p>
            <w:pPr>
              <w:widowControl/>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851" w:type="dxa"/>
            <w:noWrap/>
            <w:vAlign w:val="center"/>
          </w:tcPr>
          <w:p>
            <w:pPr>
              <w:widowControl/>
              <w:jc w:val="center"/>
              <w:rPr>
                <w:rFonts w:ascii="宋体" w:hAnsi="宋体"/>
                <w:color w:val="auto"/>
                <w:szCs w:val="21"/>
              </w:rPr>
            </w:pPr>
            <w:r>
              <w:rPr>
                <w:rFonts w:ascii="宋体" w:hAnsi="宋体"/>
                <w:color w:val="auto"/>
                <w:szCs w:val="21"/>
              </w:rPr>
              <w:t>7</w:t>
            </w:r>
          </w:p>
        </w:tc>
        <w:tc>
          <w:tcPr>
            <w:tcW w:w="1675" w:type="dxa"/>
            <w:noWrap/>
            <w:vAlign w:val="center"/>
          </w:tcPr>
          <w:p>
            <w:pPr>
              <w:widowControl/>
              <w:jc w:val="center"/>
              <w:rPr>
                <w:rFonts w:ascii="宋体" w:hAnsi="宋体"/>
                <w:color w:val="auto"/>
                <w:szCs w:val="21"/>
              </w:rPr>
            </w:pPr>
            <w:r>
              <w:rPr>
                <w:rFonts w:ascii="宋体" w:hAnsi="宋体"/>
                <w:color w:val="auto"/>
                <w:szCs w:val="21"/>
              </w:rPr>
              <w:t>开采储量</w:t>
            </w:r>
          </w:p>
        </w:tc>
        <w:tc>
          <w:tcPr>
            <w:tcW w:w="2915" w:type="dxa"/>
            <w:vAlign w:val="center"/>
          </w:tcPr>
          <w:p>
            <w:pPr>
              <w:widowControl/>
              <w:jc w:val="center"/>
              <w:rPr>
                <w:rFonts w:ascii="宋体" w:hAnsi="宋体"/>
                <w:color w:val="auto"/>
                <w:szCs w:val="21"/>
              </w:rPr>
            </w:pPr>
            <w:r>
              <w:rPr>
                <w:rFonts w:hint="eastAsia" w:ascii="宋体" w:hAnsi="宋体"/>
                <w:color w:val="auto"/>
                <w:szCs w:val="21"/>
              </w:rPr>
              <w:t>高岭土</w:t>
            </w:r>
          </w:p>
        </w:tc>
        <w:tc>
          <w:tcPr>
            <w:tcW w:w="1345" w:type="dxa"/>
            <w:noWrap/>
            <w:vAlign w:val="center"/>
          </w:tcPr>
          <w:p>
            <w:pPr>
              <w:widowControl/>
              <w:jc w:val="center"/>
              <w:rPr>
                <w:rFonts w:ascii="宋体" w:hAnsi="宋体"/>
                <w:color w:val="auto"/>
                <w:szCs w:val="21"/>
              </w:rPr>
            </w:pPr>
            <w:r>
              <w:rPr>
                <w:rFonts w:ascii="宋体" w:hAnsi="宋体"/>
                <w:color w:val="auto"/>
                <w:szCs w:val="21"/>
              </w:rPr>
              <w:t>万m</w:t>
            </w:r>
            <w:r>
              <w:rPr>
                <w:rFonts w:ascii="宋体" w:hAnsi="宋体"/>
                <w:color w:val="auto"/>
                <w:szCs w:val="21"/>
                <w:vertAlign w:val="superscript"/>
              </w:rPr>
              <w:t>3</w:t>
            </w:r>
          </w:p>
        </w:tc>
        <w:tc>
          <w:tcPr>
            <w:tcW w:w="1353" w:type="dxa"/>
            <w:noWrap/>
            <w:vAlign w:val="center"/>
          </w:tcPr>
          <w:p>
            <w:pPr>
              <w:widowControl/>
              <w:jc w:val="center"/>
              <w:rPr>
                <w:rFonts w:ascii="宋体" w:hAnsi="宋体"/>
                <w:color w:val="auto"/>
                <w:szCs w:val="21"/>
              </w:rPr>
            </w:pPr>
            <w:r>
              <w:rPr>
                <w:rFonts w:ascii="宋体" w:hAnsi="宋体"/>
                <w:color w:val="auto"/>
                <w:szCs w:val="21"/>
              </w:rPr>
              <w:t>2</w:t>
            </w:r>
            <w:r>
              <w:rPr>
                <w:rFonts w:hint="eastAsia" w:ascii="宋体" w:hAnsi="宋体"/>
                <w:color w:val="auto"/>
                <w:szCs w:val="21"/>
              </w:rPr>
              <w:t>2</w:t>
            </w:r>
            <w:r>
              <w:rPr>
                <w:rFonts w:ascii="宋体" w:hAnsi="宋体"/>
                <w:color w:val="auto"/>
                <w:szCs w:val="21"/>
              </w:rPr>
              <w:t>.</w:t>
            </w:r>
            <w:r>
              <w:rPr>
                <w:rFonts w:hint="eastAsia" w:ascii="宋体" w:hAnsi="宋体"/>
                <w:color w:val="auto"/>
                <w:szCs w:val="21"/>
              </w:rPr>
              <w:t>90</w:t>
            </w:r>
          </w:p>
        </w:tc>
        <w:tc>
          <w:tcPr>
            <w:tcW w:w="918" w:type="dxa"/>
            <w:noWrap/>
            <w:vAlign w:val="center"/>
          </w:tcPr>
          <w:p>
            <w:pPr>
              <w:widowControl/>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851" w:type="dxa"/>
            <w:noWrap/>
            <w:vAlign w:val="center"/>
          </w:tcPr>
          <w:p>
            <w:pPr>
              <w:widowControl/>
              <w:jc w:val="center"/>
              <w:rPr>
                <w:rFonts w:ascii="宋体" w:hAnsi="宋体"/>
                <w:color w:val="auto"/>
                <w:szCs w:val="21"/>
              </w:rPr>
            </w:pPr>
            <w:r>
              <w:rPr>
                <w:rFonts w:ascii="宋体" w:hAnsi="宋体"/>
                <w:color w:val="auto"/>
                <w:szCs w:val="21"/>
              </w:rPr>
              <w:t>8</w:t>
            </w:r>
          </w:p>
        </w:tc>
        <w:tc>
          <w:tcPr>
            <w:tcW w:w="1675" w:type="dxa"/>
            <w:noWrap/>
            <w:vAlign w:val="center"/>
          </w:tcPr>
          <w:p>
            <w:pPr>
              <w:widowControl/>
              <w:jc w:val="center"/>
              <w:rPr>
                <w:rFonts w:ascii="宋体" w:hAnsi="宋体"/>
                <w:color w:val="auto"/>
                <w:szCs w:val="21"/>
              </w:rPr>
            </w:pPr>
            <w:r>
              <w:rPr>
                <w:rFonts w:ascii="宋体" w:hAnsi="宋体"/>
                <w:color w:val="auto"/>
                <w:szCs w:val="21"/>
              </w:rPr>
              <w:t>采出矿石量</w:t>
            </w:r>
          </w:p>
        </w:tc>
        <w:tc>
          <w:tcPr>
            <w:tcW w:w="2915" w:type="dxa"/>
            <w:vAlign w:val="center"/>
          </w:tcPr>
          <w:p>
            <w:pPr>
              <w:widowControl/>
              <w:jc w:val="center"/>
              <w:rPr>
                <w:rFonts w:ascii="宋体" w:hAnsi="宋体"/>
                <w:color w:val="auto"/>
                <w:szCs w:val="21"/>
              </w:rPr>
            </w:pPr>
            <w:r>
              <w:rPr>
                <w:rFonts w:hint="eastAsia" w:ascii="宋体" w:hAnsi="宋体"/>
                <w:color w:val="auto"/>
                <w:szCs w:val="21"/>
              </w:rPr>
              <w:t>高岭土</w:t>
            </w:r>
          </w:p>
        </w:tc>
        <w:tc>
          <w:tcPr>
            <w:tcW w:w="1345" w:type="dxa"/>
            <w:noWrap/>
            <w:vAlign w:val="center"/>
          </w:tcPr>
          <w:p>
            <w:pPr>
              <w:widowControl/>
              <w:jc w:val="center"/>
              <w:rPr>
                <w:rFonts w:ascii="宋体" w:hAnsi="宋体"/>
                <w:color w:val="auto"/>
                <w:szCs w:val="21"/>
              </w:rPr>
            </w:pPr>
            <w:r>
              <w:rPr>
                <w:rFonts w:ascii="宋体" w:hAnsi="宋体"/>
                <w:color w:val="auto"/>
                <w:szCs w:val="21"/>
              </w:rPr>
              <w:t>万t</w:t>
            </w:r>
          </w:p>
        </w:tc>
        <w:tc>
          <w:tcPr>
            <w:tcW w:w="1353" w:type="dxa"/>
            <w:noWrap/>
            <w:vAlign w:val="center"/>
          </w:tcPr>
          <w:p>
            <w:pPr>
              <w:widowControl/>
              <w:jc w:val="center"/>
              <w:rPr>
                <w:rFonts w:ascii="宋体" w:hAnsi="宋体"/>
                <w:color w:val="auto"/>
                <w:szCs w:val="21"/>
              </w:rPr>
            </w:pPr>
            <w:r>
              <w:rPr>
                <w:rFonts w:hint="eastAsia" w:ascii="宋体" w:hAnsi="宋体"/>
                <w:color w:val="auto"/>
                <w:szCs w:val="21"/>
              </w:rPr>
              <w:t>20.71</w:t>
            </w:r>
          </w:p>
        </w:tc>
        <w:tc>
          <w:tcPr>
            <w:tcW w:w="918" w:type="dxa"/>
            <w:noWrap/>
            <w:vAlign w:val="center"/>
          </w:tcPr>
          <w:p>
            <w:pPr>
              <w:widowControl/>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851" w:type="dxa"/>
            <w:noWrap/>
            <w:vAlign w:val="center"/>
          </w:tcPr>
          <w:p>
            <w:pPr>
              <w:widowControl/>
              <w:jc w:val="center"/>
              <w:rPr>
                <w:rFonts w:ascii="宋体" w:hAnsi="宋体"/>
                <w:color w:val="auto"/>
                <w:szCs w:val="21"/>
              </w:rPr>
            </w:pPr>
            <w:r>
              <w:rPr>
                <w:rFonts w:ascii="宋体" w:hAnsi="宋体"/>
                <w:color w:val="auto"/>
                <w:szCs w:val="21"/>
              </w:rPr>
              <w:t>9</w:t>
            </w:r>
          </w:p>
        </w:tc>
        <w:tc>
          <w:tcPr>
            <w:tcW w:w="1675" w:type="dxa"/>
            <w:noWrap/>
            <w:vAlign w:val="center"/>
          </w:tcPr>
          <w:p>
            <w:pPr>
              <w:widowControl/>
              <w:jc w:val="center"/>
              <w:rPr>
                <w:rFonts w:ascii="宋体" w:hAnsi="宋体"/>
                <w:color w:val="auto"/>
                <w:szCs w:val="21"/>
              </w:rPr>
            </w:pPr>
            <w:r>
              <w:rPr>
                <w:rFonts w:ascii="宋体" w:hAnsi="宋体"/>
                <w:color w:val="auto"/>
                <w:szCs w:val="21"/>
              </w:rPr>
              <w:t>生产规模</w:t>
            </w:r>
          </w:p>
        </w:tc>
        <w:tc>
          <w:tcPr>
            <w:tcW w:w="2915" w:type="dxa"/>
            <w:vAlign w:val="center"/>
          </w:tcPr>
          <w:p>
            <w:pPr>
              <w:widowControl/>
              <w:jc w:val="center"/>
              <w:rPr>
                <w:rFonts w:ascii="宋体" w:hAnsi="宋体"/>
                <w:color w:val="auto"/>
                <w:szCs w:val="21"/>
              </w:rPr>
            </w:pPr>
            <w:r>
              <w:rPr>
                <w:rFonts w:hint="eastAsia" w:ascii="宋体" w:hAnsi="宋体"/>
                <w:color w:val="auto"/>
                <w:szCs w:val="21"/>
              </w:rPr>
              <w:t>高岭土</w:t>
            </w:r>
          </w:p>
        </w:tc>
        <w:tc>
          <w:tcPr>
            <w:tcW w:w="1345" w:type="dxa"/>
            <w:noWrap/>
            <w:vAlign w:val="center"/>
          </w:tcPr>
          <w:p>
            <w:pPr>
              <w:jc w:val="center"/>
              <w:rPr>
                <w:rFonts w:ascii="宋体" w:hAnsi="宋体"/>
                <w:color w:val="auto"/>
                <w:szCs w:val="21"/>
              </w:rPr>
            </w:pPr>
            <w:r>
              <w:rPr>
                <w:rFonts w:ascii="宋体" w:hAnsi="宋体"/>
                <w:color w:val="auto"/>
                <w:szCs w:val="21"/>
              </w:rPr>
              <w:t>万t/</w:t>
            </w:r>
            <w:r>
              <w:rPr>
                <w:rFonts w:hint="eastAsia" w:ascii="宋体" w:hAnsi="宋体"/>
                <w:color w:val="auto"/>
                <w:szCs w:val="21"/>
              </w:rPr>
              <w:t>年</w:t>
            </w:r>
          </w:p>
        </w:tc>
        <w:tc>
          <w:tcPr>
            <w:tcW w:w="1353" w:type="dxa"/>
            <w:noWrap/>
            <w:vAlign w:val="center"/>
          </w:tcPr>
          <w:p>
            <w:pPr>
              <w:widowControl/>
              <w:jc w:val="center"/>
              <w:rPr>
                <w:rFonts w:ascii="宋体" w:hAnsi="宋体"/>
                <w:color w:val="auto"/>
                <w:szCs w:val="21"/>
              </w:rPr>
            </w:pPr>
            <w:r>
              <w:rPr>
                <w:rFonts w:hint="eastAsia" w:ascii="宋体" w:hAnsi="宋体"/>
                <w:color w:val="auto"/>
                <w:szCs w:val="21"/>
              </w:rPr>
              <w:t>5.0</w:t>
            </w:r>
          </w:p>
        </w:tc>
        <w:tc>
          <w:tcPr>
            <w:tcW w:w="918" w:type="dxa"/>
            <w:noWrap/>
            <w:vAlign w:val="center"/>
          </w:tcPr>
          <w:p>
            <w:pPr>
              <w:widowControl/>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851" w:type="dxa"/>
            <w:noWrap/>
            <w:vAlign w:val="center"/>
          </w:tcPr>
          <w:p>
            <w:pPr>
              <w:widowControl/>
              <w:jc w:val="center"/>
              <w:rPr>
                <w:rFonts w:ascii="宋体" w:hAnsi="宋体"/>
                <w:color w:val="auto"/>
                <w:szCs w:val="21"/>
              </w:rPr>
            </w:pPr>
            <w:r>
              <w:rPr>
                <w:rFonts w:ascii="宋体" w:hAnsi="宋体"/>
                <w:color w:val="auto"/>
                <w:szCs w:val="21"/>
              </w:rPr>
              <w:t>10</w:t>
            </w:r>
          </w:p>
        </w:tc>
        <w:tc>
          <w:tcPr>
            <w:tcW w:w="4590" w:type="dxa"/>
            <w:gridSpan w:val="2"/>
            <w:noWrap/>
            <w:vAlign w:val="center"/>
          </w:tcPr>
          <w:p>
            <w:pPr>
              <w:widowControl/>
              <w:jc w:val="center"/>
              <w:rPr>
                <w:rFonts w:ascii="宋体" w:hAnsi="宋体"/>
                <w:color w:val="auto"/>
                <w:szCs w:val="21"/>
              </w:rPr>
            </w:pPr>
            <w:r>
              <w:rPr>
                <w:rFonts w:ascii="宋体" w:hAnsi="宋体"/>
                <w:color w:val="auto"/>
                <w:szCs w:val="21"/>
              </w:rPr>
              <w:t>安全平台宽度</w:t>
            </w:r>
          </w:p>
        </w:tc>
        <w:tc>
          <w:tcPr>
            <w:tcW w:w="1345" w:type="dxa"/>
            <w:noWrap/>
            <w:vAlign w:val="center"/>
          </w:tcPr>
          <w:p>
            <w:pPr>
              <w:widowControl/>
              <w:jc w:val="center"/>
              <w:rPr>
                <w:rFonts w:ascii="宋体" w:hAnsi="宋体"/>
                <w:color w:val="auto"/>
                <w:szCs w:val="21"/>
              </w:rPr>
            </w:pPr>
            <w:r>
              <w:rPr>
                <w:rFonts w:ascii="宋体" w:hAnsi="宋体"/>
                <w:color w:val="auto"/>
                <w:szCs w:val="21"/>
              </w:rPr>
              <w:t>m</w:t>
            </w:r>
          </w:p>
        </w:tc>
        <w:tc>
          <w:tcPr>
            <w:tcW w:w="1353" w:type="dxa"/>
            <w:noWrap/>
            <w:vAlign w:val="center"/>
          </w:tcPr>
          <w:p>
            <w:pPr>
              <w:widowControl/>
              <w:jc w:val="center"/>
              <w:rPr>
                <w:rFonts w:ascii="宋体" w:hAnsi="宋体"/>
                <w:color w:val="auto"/>
                <w:szCs w:val="21"/>
              </w:rPr>
            </w:pPr>
            <w:r>
              <w:rPr>
                <w:rFonts w:ascii="宋体" w:hAnsi="宋体"/>
                <w:color w:val="auto"/>
                <w:szCs w:val="21"/>
              </w:rPr>
              <w:t>4</w:t>
            </w:r>
          </w:p>
        </w:tc>
        <w:tc>
          <w:tcPr>
            <w:tcW w:w="918" w:type="dxa"/>
            <w:noWrap/>
            <w:vAlign w:val="center"/>
          </w:tcPr>
          <w:p>
            <w:pPr>
              <w:widowControl/>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851" w:type="dxa"/>
            <w:noWrap/>
            <w:vAlign w:val="center"/>
          </w:tcPr>
          <w:p>
            <w:pPr>
              <w:widowControl/>
              <w:jc w:val="center"/>
              <w:rPr>
                <w:rFonts w:ascii="宋体" w:hAnsi="宋体"/>
                <w:color w:val="auto"/>
                <w:szCs w:val="21"/>
              </w:rPr>
            </w:pPr>
            <w:r>
              <w:rPr>
                <w:rFonts w:ascii="宋体" w:hAnsi="宋体"/>
                <w:color w:val="auto"/>
                <w:szCs w:val="21"/>
              </w:rPr>
              <w:t>11</w:t>
            </w:r>
          </w:p>
        </w:tc>
        <w:tc>
          <w:tcPr>
            <w:tcW w:w="1675" w:type="dxa"/>
            <w:noWrap/>
            <w:vAlign w:val="center"/>
          </w:tcPr>
          <w:p>
            <w:pPr>
              <w:widowControl/>
              <w:jc w:val="center"/>
              <w:rPr>
                <w:rFonts w:ascii="宋体" w:hAnsi="宋体"/>
                <w:color w:val="auto"/>
                <w:szCs w:val="21"/>
              </w:rPr>
            </w:pPr>
            <w:r>
              <w:rPr>
                <w:rFonts w:ascii="宋体" w:hAnsi="宋体"/>
                <w:color w:val="auto"/>
                <w:szCs w:val="21"/>
              </w:rPr>
              <w:t>台阶坡面角</w:t>
            </w:r>
          </w:p>
        </w:tc>
        <w:tc>
          <w:tcPr>
            <w:tcW w:w="2915" w:type="dxa"/>
            <w:vAlign w:val="center"/>
          </w:tcPr>
          <w:p>
            <w:pPr>
              <w:widowControl/>
              <w:jc w:val="center"/>
              <w:rPr>
                <w:rFonts w:ascii="宋体" w:hAnsi="宋体"/>
                <w:color w:val="auto"/>
                <w:szCs w:val="21"/>
              </w:rPr>
            </w:pPr>
            <w:r>
              <w:rPr>
                <w:rFonts w:hint="eastAsia" w:ascii="宋体" w:hAnsi="宋体"/>
                <w:color w:val="auto"/>
                <w:szCs w:val="21"/>
              </w:rPr>
              <w:t>表土、高岭</w:t>
            </w:r>
            <w:r>
              <w:rPr>
                <w:rFonts w:ascii="宋体" w:hAnsi="宋体"/>
                <w:color w:val="auto"/>
                <w:szCs w:val="21"/>
              </w:rPr>
              <w:t>土</w:t>
            </w:r>
          </w:p>
        </w:tc>
        <w:tc>
          <w:tcPr>
            <w:tcW w:w="1345" w:type="dxa"/>
            <w:noWrap/>
            <w:vAlign w:val="center"/>
          </w:tcPr>
          <w:p>
            <w:pPr>
              <w:widowControl/>
              <w:jc w:val="center"/>
              <w:rPr>
                <w:rFonts w:ascii="宋体" w:hAnsi="宋体"/>
                <w:color w:val="auto"/>
                <w:szCs w:val="21"/>
              </w:rPr>
            </w:pPr>
            <w:r>
              <w:rPr>
                <w:rFonts w:ascii="宋体" w:hAnsi="宋体"/>
                <w:color w:val="auto"/>
                <w:szCs w:val="21"/>
              </w:rPr>
              <w:t>°</w:t>
            </w:r>
          </w:p>
        </w:tc>
        <w:tc>
          <w:tcPr>
            <w:tcW w:w="1353" w:type="dxa"/>
            <w:noWrap/>
            <w:vAlign w:val="center"/>
          </w:tcPr>
          <w:p>
            <w:pPr>
              <w:widowControl/>
              <w:jc w:val="center"/>
              <w:rPr>
                <w:rFonts w:ascii="宋体" w:hAnsi="宋体"/>
                <w:color w:val="auto"/>
                <w:szCs w:val="21"/>
              </w:rPr>
            </w:pPr>
            <w:r>
              <w:rPr>
                <w:rFonts w:ascii="宋体" w:hAnsi="宋体"/>
                <w:color w:val="auto"/>
                <w:szCs w:val="21"/>
              </w:rPr>
              <w:t>45</w:t>
            </w:r>
            <w:r>
              <w:rPr>
                <w:rFonts w:hint="eastAsia" w:ascii="宋体" w:hAnsi="宋体"/>
                <w:color w:val="auto"/>
                <w:szCs w:val="21"/>
              </w:rPr>
              <w:t>/55</w:t>
            </w:r>
          </w:p>
        </w:tc>
        <w:tc>
          <w:tcPr>
            <w:tcW w:w="918" w:type="dxa"/>
            <w:noWrap/>
            <w:vAlign w:val="center"/>
          </w:tcPr>
          <w:p>
            <w:pPr>
              <w:widowControl/>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851" w:type="dxa"/>
            <w:noWrap/>
            <w:vAlign w:val="center"/>
          </w:tcPr>
          <w:p>
            <w:pPr>
              <w:widowControl/>
              <w:jc w:val="center"/>
              <w:rPr>
                <w:rFonts w:ascii="宋体" w:hAnsi="宋体"/>
                <w:color w:val="auto"/>
                <w:szCs w:val="21"/>
              </w:rPr>
            </w:pPr>
            <w:r>
              <w:rPr>
                <w:rFonts w:ascii="宋体" w:hAnsi="宋体"/>
                <w:color w:val="auto"/>
                <w:szCs w:val="21"/>
              </w:rPr>
              <w:t>12</w:t>
            </w:r>
          </w:p>
        </w:tc>
        <w:tc>
          <w:tcPr>
            <w:tcW w:w="4590" w:type="dxa"/>
            <w:gridSpan w:val="2"/>
            <w:noWrap/>
            <w:vAlign w:val="center"/>
          </w:tcPr>
          <w:p>
            <w:pPr>
              <w:widowControl/>
              <w:jc w:val="center"/>
              <w:rPr>
                <w:rFonts w:ascii="宋体" w:hAnsi="宋体"/>
                <w:color w:val="auto"/>
                <w:szCs w:val="21"/>
              </w:rPr>
            </w:pPr>
            <w:r>
              <w:rPr>
                <w:rFonts w:ascii="宋体" w:hAnsi="宋体"/>
                <w:color w:val="auto"/>
                <w:szCs w:val="21"/>
              </w:rPr>
              <w:t>台阶数</w:t>
            </w:r>
          </w:p>
        </w:tc>
        <w:tc>
          <w:tcPr>
            <w:tcW w:w="1345" w:type="dxa"/>
            <w:noWrap/>
            <w:vAlign w:val="center"/>
          </w:tcPr>
          <w:p>
            <w:pPr>
              <w:widowControl/>
              <w:jc w:val="center"/>
              <w:rPr>
                <w:rFonts w:ascii="宋体" w:hAnsi="宋体"/>
                <w:color w:val="auto"/>
                <w:szCs w:val="21"/>
              </w:rPr>
            </w:pPr>
            <w:r>
              <w:rPr>
                <w:rFonts w:ascii="宋体" w:hAnsi="宋体"/>
                <w:color w:val="auto"/>
                <w:szCs w:val="21"/>
              </w:rPr>
              <w:t>个</w:t>
            </w:r>
          </w:p>
        </w:tc>
        <w:tc>
          <w:tcPr>
            <w:tcW w:w="1353" w:type="dxa"/>
            <w:noWrap/>
            <w:vAlign w:val="center"/>
          </w:tcPr>
          <w:p>
            <w:pPr>
              <w:widowControl/>
              <w:jc w:val="center"/>
              <w:rPr>
                <w:rFonts w:ascii="宋体" w:hAnsi="宋体"/>
                <w:color w:val="auto"/>
                <w:szCs w:val="21"/>
              </w:rPr>
            </w:pPr>
            <w:r>
              <w:rPr>
                <w:rFonts w:ascii="宋体" w:hAnsi="宋体"/>
                <w:color w:val="auto"/>
                <w:szCs w:val="21"/>
              </w:rPr>
              <w:t>8</w:t>
            </w:r>
          </w:p>
        </w:tc>
        <w:tc>
          <w:tcPr>
            <w:tcW w:w="918" w:type="dxa"/>
            <w:noWrap/>
            <w:vAlign w:val="center"/>
          </w:tcPr>
          <w:p>
            <w:pPr>
              <w:widowControl/>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851" w:type="dxa"/>
            <w:noWrap/>
            <w:vAlign w:val="center"/>
          </w:tcPr>
          <w:p>
            <w:pPr>
              <w:widowControl/>
              <w:jc w:val="center"/>
              <w:rPr>
                <w:rFonts w:ascii="宋体" w:hAnsi="宋体"/>
                <w:color w:val="auto"/>
                <w:szCs w:val="21"/>
              </w:rPr>
            </w:pPr>
            <w:r>
              <w:rPr>
                <w:rFonts w:ascii="宋体" w:hAnsi="宋体"/>
                <w:color w:val="auto"/>
                <w:szCs w:val="21"/>
              </w:rPr>
              <w:t>13</w:t>
            </w:r>
          </w:p>
        </w:tc>
        <w:tc>
          <w:tcPr>
            <w:tcW w:w="4590" w:type="dxa"/>
            <w:gridSpan w:val="2"/>
            <w:noWrap/>
            <w:vAlign w:val="center"/>
          </w:tcPr>
          <w:p>
            <w:pPr>
              <w:widowControl/>
              <w:jc w:val="center"/>
              <w:rPr>
                <w:rFonts w:ascii="宋体" w:hAnsi="宋体"/>
                <w:color w:val="auto"/>
                <w:szCs w:val="21"/>
              </w:rPr>
            </w:pPr>
            <w:r>
              <w:rPr>
                <w:rFonts w:ascii="宋体" w:hAnsi="宋体"/>
                <w:color w:val="auto"/>
                <w:szCs w:val="21"/>
              </w:rPr>
              <w:t>平均剥采比</w:t>
            </w:r>
          </w:p>
        </w:tc>
        <w:tc>
          <w:tcPr>
            <w:tcW w:w="1345" w:type="dxa"/>
            <w:noWrap/>
            <w:vAlign w:val="center"/>
          </w:tcPr>
          <w:p>
            <w:pPr>
              <w:widowControl/>
              <w:jc w:val="center"/>
              <w:rPr>
                <w:rFonts w:ascii="宋体" w:hAnsi="宋体"/>
                <w:color w:val="auto"/>
                <w:szCs w:val="21"/>
              </w:rPr>
            </w:pPr>
            <w:r>
              <w:rPr>
                <w:rFonts w:ascii="宋体" w:hAnsi="宋体"/>
                <w:color w:val="auto"/>
                <w:szCs w:val="21"/>
              </w:rPr>
              <w:t>m³/ m³</w:t>
            </w:r>
          </w:p>
        </w:tc>
        <w:tc>
          <w:tcPr>
            <w:tcW w:w="1353" w:type="dxa"/>
            <w:noWrap/>
            <w:vAlign w:val="center"/>
          </w:tcPr>
          <w:p>
            <w:pPr>
              <w:widowControl/>
              <w:jc w:val="center"/>
              <w:rPr>
                <w:rFonts w:ascii="宋体" w:hAnsi="宋体"/>
                <w:color w:val="auto"/>
                <w:szCs w:val="21"/>
              </w:rPr>
            </w:pPr>
            <w:r>
              <w:rPr>
                <w:rFonts w:ascii="宋体" w:hAnsi="宋体"/>
                <w:color w:val="auto"/>
                <w:szCs w:val="21"/>
              </w:rPr>
              <w:t>0</w:t>
            </w:r>
          </w:p>
        </w:tc>
        <w:tc>
          <w:tcPr>
            <w:tcW w:w="918" w:type="dxa"/>
            <w:noWrap/>
            <w:vAlign w:val="center"/>
          </w:tcPr>
          <w:p>
            <w:pPr>
              <w:keepNext/>
              <w:keepLines/>
              <w:widowControl/>
              <w:jc w:val="center"/>
              <w:outlineLvl w:val="0"/>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851" w:type="dxa"/>
            <w:noWrap/>
            <w:vAlign w:val="center"/>
          </w:tcPr>
          <w:p>
            <w:pPr>
              <w:widowControl/>
              <w:jc w:val="center"/>
              <w:rPr>
                <w:rFonts w:ascii="宋体" w:hAnsi="宋体"/>
                <w:color w:val="auto"/>
                <w:szCs w:val="21"/>
              </w:rPr>
            </w:pPr>
            <w:r>
              <w:rPr>
                <w:rFonts w:ascii="宋体" w:hAnsi="宋体"/>
                <w:color w:val="auto"/>
                <w:szCs w:val="21"/>
              </w:rPr>
              <w:t>14</w:t>
            </w:r>
          </w:p>
        </w:tc>
        <w:tc>
          <w:tcPr>
            <w:tcW w:w="4590" w:type="dxa"/>
            <w:gridSpan w:val="2"/>
            <w:noWrap/>
            <w:vAlign w:val="center"/>
          </w:tcPr>
          <w:p>
            <w:pPr>
              <w:widowControl/>
              <w:jc w:val="center"/>
              <w:rPr>
                <w:rFonts w:ascii="宋体" w:hAnsi="宋体"/>
                <w:color w:val="auto"/>
                <w:szCs w:val="21"/>
              </w:rPr>
            </w:pPr>
            <w:r>
              <w:rPr>
                <w:rFonts w:ascii="宋体" w:hAnsi="宋体"/>
                <w:color w:val="auto"/>
                <w:szCs w:val="21"/>
              </w:rPr>
              <w:t>采矿损失率</w:t>
            </w:r>
          </w:p>
        </w:tc>
        <w:tc>
          <w:tcPr>
            <w:tcW w:w="1345" w:type="dxa"/>
            <w:noWrap/>
            <w:vAlign w:val="center"/>
          </w:tcPr>
          <w:p>
            <w:pPr>
              <w:widowControl/>
              <w:jc w:val="center"/>
              <w:rPr>
                <w:rFonts w:ascii="宋体" w:hAnsi="宋体"/>
                <w:color w:val="auto"/>
                <w:szCs w:val="21"/>
              </w:rPr>
            </w:pPr>
            <w:r>
              <w:rPr>
                <w:rFonts w:ascii="宋体" w:hAnsi="宋体"/>
                <w:color w:val="auto"/>
                <w:szCs w:val="21"/>
              </w:rPr>
              <w:t>%</w:t>
            </w:r>
          </w:p>
        </w:tc>
        <w:tc>
          <w:tcPr>
            <w:tcW w:w="1353" w:type="dxa"/>
            <w:noWrap/>
            <w:vAlign w:val="center"/>
          </w:tcPr>
          <w:p>
            <w:pPr>
              <w:widowControl/>
              <w:jc w:val="center"/>
              <w:rPr>
                <w:rFonts w:ascii="宋体" w:hAnsi="宋体"/>
                <w:color w:val="auto"/>
                <w:szCs w:val="21"/>
              </w:rPr>
            </w:pPr>
            <w:r>
              <w:rPr>
                <w:rFonts w:ascii="宋体" w:hAnsi="宋体"/>
                <w:color w:val="auto"/>
                <w:szCs w:val="21"/>
              </w:rPr>
              <w:t>10</w:t>
            </w:r>
          </w:p>
        </w:tc>
        <w:tc>
          <w:tcPr>
            <w:tcW w:w="918" w:type="dxa"/>
            <w:noWrap/>
            <w:vAlign w:val="center"/>
          </w:tcPr>
          <w:p>
            <w:pPr>
              <w:widowControl/>
              <w:jc w:val="center"/>
              <w:rPr>
                <w:rFonts w:ascii="宋体" w:hAnsi="宋体"/>
                <w:color w:val="auto"/>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7" w:hRule="atLeast"/>
          <w:jc w:val="center"/>
        </w:trPr>
        <w:tc>
          <w:tcPr>
            <w:tcW w:w="851" w:type="dxa"/>
            <w:noWrap/>
            <w:vAlign w:val="center"/>
          </w:tcPr>
          <w:p>
            <w:pPr>
              <w:widowControl/>
              <w:jc w:val="center"/>
              <w:rPr>
                <w:rFonts w:ascii="宋体" w:hAnsi="宋体"/>
                <w:color w:val="auto"/>
                <w:szCs w:val="21"/>
              </w:rPr>
            </w:pPr>
            <w:r>
              <w:rPr>
                <w:rFonts w:ascii="宋体" w:hAnsi="宋体"/>
                <w:color w:val="auto"/>
                <w:szCs w:val="21"/>
              </w:rPr>
              <w:t>15</w:t>
            </w:r>
          </w:p>
        </w:tc>
        <w:tc>
          <w:tcPr>
            <w:tcW w:w="4590" w:type="dxa"/>
            <w:gridSpan w:val="2"/>
            <w:noWrap/>
            <w:vAlign w:val="center"/>
          </w:tcPr>
          <w:p>
            <w:pPr>
              <w:widowControl/>
              <w:jc w:val="center"/>
              <w:rPr>
                <w:rFonts w:ascii="宋体" w:hAnsi="宋体"/>
                <w:color w:val="auto"/>
                <w:szCs w:val="21"/>
              </w:rPr>
            </w:pPr>
            <w:r>
              <w:rPr>
                <w:rFonts w:ascii="宋体" w:hAnsi="宋体"/>
                <w:color w:val="auto"/>
                <w:szCs w:val="21"/>
              </w:rPr>
              <w:t>废石混入率</w:t>
            </w:r>
          </w:p>
        </w:tc>
        <w:tc>
          <w:tcPr>
            <w:tcW w:w="1345" w:type="dxa"/>
            <w:noWrap/>
            <w:vAlign w:val="center"/>
          </w:tcPr>
          <w:p>
            <w:pPr>
              <w:widowControl/>
              <w:jc w:val="center"/>
              <w:rPr>
                <w:rFonts w:ascii="宋体" w:hAnsi="宋体"/>
                <w:color w:val="auto"/>
                <w:szCs w:val="21"/>
              </w:rPr>
            </w:pPr>
            <w:r>
              <w:rPr>
                <w:rFonts w:ascii="宋体" w:hAnsi="宋体"/>
                <w:color w:val="auto"/>
                <w:szCs w:val="21"/>
              </w:rPr>
              <w:t>%</w:t>
            </w:r>
          </w:p>
        </w:tc>
        <w:tc>
          <w:tcPr>
            <w:tcW w:w="1353" w:type="dxa"/>
            <w:noWrap/>
            <w:vAlign w:val="center"/>
          </w:tcPr>
          <w:p>
            <w:pPr>
              <w:widowControl/>
              <w:jc w:val="center"/>
              <w:rPr>
                <w:rFonts w:ascii="宋体" w:hAnsi="宋体"/>
                <w:color w:val="auto"/>
                <w:szCs w:val="21"/>
              </w:rPr>
            </w:pPr>
            <w:r>
              <w:rPr>
                <w:rFonts w:ascii="宋体" w:hAnsi="宋体"/>
                <w:color w:val="auto"/>
                <w:szCs w:val="21"/>
              </w:rPr>
              <w:t>0.5</w:t>
            </w:r>
          </w:p>
        </w:tc>
        <w:tc>
          <w:tcPr>
            <w:tcW w:w="918" w:type="dxa"/>
            <w:noWrap/>
            <w:vAlign w:val="center"/>
          </w:tcPr>
          <w:p>
            <w:pPr>
              <w:widowControl/>
              <w:jc w:val="center"/>
              <w:rPr>
                <w:rFonts w:ascii="宋体" w:hAnsi="宋体"/>
                <w:color w:val="auto"/>
                <w:szCs w:val="21"/>
              </w:rPr>
            </w:pPr>
          </w:p>
        </w:tc>
      </w:tr>
    </w:tbl>
    <w:p>
      <w:pPr>
        <w:pStyle w:val="6"/>
        <w:keepLines w:val="0"/>
        <w:widowControl/>
        <w:spacing w:before="0" w:after="0" w:line="500" w:lineRule="exact"/>
        <w:rPr>
          <w:rFonts w:ascii="宋体" w:hAnsi="宋体" w:eastAsia="宋体"/>
          <w:color w:val="auto"/>
          <w:kern w:val="28"/>
        </w:rPr>
      </w:pPr>
      <w:r>
        <w:rPr>
          <w:rFonts w:hint="eastAsia" w:ascii="宋体" w:hAnsi="宋体" w:eastAsia="宋体"/>
          <w:color w:val="auto"/>
          <w:kern w:val="28"/>
        </w:rPr>
        <w:t>2.4.</w:t>
      </w:r>
      <w:r>
        <w:rPr>
          <w:rFonts w:ascii="宋体" w:hAnsi="宋体" w:eastAsia="宋体"/>
          <w:color w:val="auto"/>
          <w:kern w:val="28"/>
        </w:rPr>
        <w:t>6</w:t>
      </w:r>
      <w:r>
        <w:rPr>
          <w:rFonts w:hint="eastAsia" w:ascii="宋体" w:hAnsi="宋体" w:eastAsia="宋体"/>
          <w:color w:val="auto"/>
          <w:kern w:val="28"/>
        </w:rPr>
        <w:t>.2采剥方法</w:t>
      </w:r>
    </w:p>
    <w:p>
      <w:pPr>
        <w:widowControl/>
        <w:spacing w:line="500" w:lineRule="exact"/>
        <w:ind w:firstLine="480" w:firstLineChars="200"/>
        <w:rPr>
          <w:rFonts w:ascii="宋体" w:hAnsi="宋体"/>
          <w:color w:val="auto"/>
          <w:sz w:val="24"/>
        </w:rPr>
      </w:pPr>
      <w:r>
        <w:rPr>
          <w:rFonts w:hint="eastAsia" w:ascii="宋体" w:hAnsi="宋体"/>
          <w:color w:val="auto"/>
          <w:sz w:val="24"/>
        </w:rPr>
        <w:t>根据矿区地形条件及矿床开采技术条件，设计采用自上而下分水平台阶开采的采矿方法，采用挖掘机直接铲装—自卸汽车运输的采剥工艺。</w:t>
      </w:r>
    </w:p>
    <w:p>
      <w:pPr>
        <w:pStyle w:val="6"/>
        <w:keepLines w:val="0"/>
        <w:widowControl/>
        <w:spacing w:before="0" w:after="0" w:line="500" w:lineRule="exact"/>
        <w:rPr>
          <w:rFonts w:ascii="宋体" w:hAnsi="宋体" w:eastAsia="宋体"/>
          <w:color w:val="auto"/>
          <w:kern w:val="28"/>
        </w:rPr>
      </w:pPr>
      <w:r>
        <w:rPr>
          <w:rFonts w:hint="eastAsia" w:ascii="宋体" w:hAnsi="宋体" w:eastAsia="宋体"/>
          <w:color w:val="auto"/>
          <w:kern w:val="28"/>
        </w:rPr>
        <w:t>2.4.</w:t>
      </w:r>
      <w:r>
        <w:rPr>
          <w:rFonts w:ascii="宋体" w:hAnsi="宋体" w:eastAsia="宋体"/>
          <w:color w:val="auto"/>
          <w:kern w:val="28"/>
        </w:rPr>
        <w:t>6</w:t>
      </w:r>
      <w:r>
        <w:rPr>
          <w:rFonts w:hint="eastAsia" w:ascii="宋体" w:hAnsi="宋体" w:eastAsia="宋体"/>
          <w:color w:val="auto"/>
          <w:kern w:val="28"/>
        </w:rPr>
        <w:t>.</w:t>
      </w:r>
      <w:r>
        <w:rPr>
          <w:rFonts w:ascii="宋体" w:hAnsi="宋体" w:eastAsia="宋体"/>
          <w:color w:val="auto"/>
          <w:kern w:val="28"/>
        </w:rPr>
        <w:t>3</w:t>
      </w:r>
      <w:r>
        <w:rPr>
          <w:rFonts w:hint="eastAsia" w:ascii="宋体" w:hAnsi="宋体" w:eastAsia="宋体"/>
          <w:color w:val="auto"/>
          <w:kern w:val="28"/>
        </w:rPr>
        <w:t>采剥工艺及参数</w:t>
      </w:r>
    </w:p>
    <w:p>
      <w:pPr>
        <w:widowControl/>
        <w:spacing w:line="500" w:lineRule="exact"/>
        <w:ind w:firstLine="482" w:firstLineChars="200"/>
        <w:rPr>
          <w:rFonts w:ascii="宋体" w:hAnsi="宋体"/>
          <w:b/>
          <w:bCs/>
          <w:color w:val="auto"/>
          <w:sz w:val="24"/>
        </w:rPr>
      </w:pPr>
      <w:r>
        <w:rPr>
          <w:rFonts w:hint="eastAsia" w:ascii="宋体" w:hAnsi="宋体"/>
          <w:b/>
          <w:bCs/>
          <w:color w:val="auto"/>
          <w:sz w:val="24"/>
        </w:rPr>
        <w:t>1）开采方法</w:t>
      </w:r>
    </w:p>
    <w:p>
      <w:pPr>
        <w:widowControl/>
        <w:spacing w:line="500" w:lineRule="exact"/>
        <w:ind w:firstLine="480" w:firstLineChars="200"/>
        <w:rPr>
          <w:rFonts w:ascii="宋体" w:hAnsi="宋体"/>
          <w:color w:val="auto"/>
          <w:sz w:val="24"/>
        </w:rPr>
      </w:pPr>
      <w:r>
        <w:rPr>
          <w:rFonts w:hint="eastAsia" w:ascii="宋体" w:hAnsi="宋体"/>
          <w:color w:val="auto"/>
          <w:sz w:val="24"/>
        </w:rPr>
        <w:t>采用自上而下，分水平台阶逐层开采。</w:t>
      </w:r>
    </w:p>
    <w:p>
      <w:pPr>
        <w:widowControl/>
        <w:spacing w:line="500" w:lineRule="exact"/>
        <w:ind w:firstLine="482" w:firstLineChars="200"/>
        <w:rPr>
          <w:rFonts w:ascii="宋体" w:hAnsi="宋体"/>
          <w:b/>
          <w:bCs/>
          <w:color w:val="auto"/>
          <w:sz w:val="24"/>
        </w:rPr>
      </w:pPr>
      <w:r>
        <w:rPr>
          <w:rFonts w:hint="eastAsia" w:ascii="宋体" w:hAnsi="宋体"/>
          <w:b/>
          <w:bCs/>
          <w:color w:val="auto"/>
          <w:sz w:val="24"/>
        </w:rPr>
        <w:t>2）采剥作业</w:t>
      </w:r>
    </w:p>
    <w:p>
      <w:pPr>
        <w:widowControl/>
        <w:autoSpaceDE w:val="0"/>
        <w:autoSpaceDN w:val="0"/>
        <w:adjustRightInd w:val="0"/>
        <w:spacing w:line="500" w:lineRule="exact"/>
        <w:ind w:firstLine="480" w:firstLineChars="200"/>
        <w:rPr>
          <w:rFonts w:ascii="宋体" w:hAnsi="宋体" w:cs="宋体"/>
          <w:color w:val="auto"/>
          <w:kern w:val="0"/>
          <w:sz w:val="24"/>
        </w:rPr>
      </w:pPr>
      <w:r>
        <w:rPr>
          <w:rFonts w:hint="eastAsia" w:ascii="宋体" w:hAnsi="宋体" w:cs="宋体"/>
          <w:color w:val="auto"/>
          <w:kern w:val="0"/>
          <w:sz w:val="24"/>
        </w:rPr>
        <w:t>（1）台阶设置</w:t>
      </w:r>
    </w:p>
    <w:p>
      <w:pPr>
        <w:widowControl/>
        <w:autoSpaceDE w:val="0"/>
        <w:autoSpaceDN w:val="0"/>
        <w:adjustRightInd w:val="0"/>
        <w:spacing w:line="500" w:lineRule="exact"/>
        <w:ind w:firstLine="480" w:firstLineChars="200"/>
        <w:rPr>
          <w:rFonts w:ascii="宋体" w:hAnsi="宋体" w:cs="宋体"/>
          <w:color w:val="auto"/>
          <w:kern w:val="0"/>
          <w:sz w:val="24"/>
        </w:rPr>
      </w:pPr>
      <w:r>
        <w:rPr>
          <w:rFonts w:hint="eastAsia" w:ascii="宋体" w:hAnsi="宋体" w:cs="宋体"/>
          <w:color w:val="auto"/>
          <w:kern w:val="0"/>
          <w:sz w:val="24"/>
        </w:rPr>
        <w:t>台阶高度：工作台阶高度5m，表土台阶坡面角45°，高岭土台阶坡面角5</w:t>
      </w:r>
      <w:r>
        <w:rPr>
          <w:rFonts w:ascii="宋体" w:hAnsi="宋体" w:cs="宋体"/>
          <w:color w:val="auto"/>
          <w:kern w:val="0"/>
          <w:sz w:val="24"/>
        </w:rPr>
        <w:t>5</w:t>
      </w:r>
      <w:r>
        <w:rPr>
          <w:rFonts w:hint="eastAsia" w:ascii="宋体" w:hAnsi="宋体" w:cs="宋体"/>
          <w:color w:val="auto"/>
          <w:kern w:val="0"/>
          <w:sz w:val="24"/>
        </w:rPr>
        <w:t>°，工作台阶宽度</w:t>
      </w:r>
      <w:r>
        <w:rPr>
          <w:rFonts w:ascii="宋体" w:hAnsi="宋体" w:cs="宋体"/>
          <w:color w:val="auto"/>
          <w:kern w:val="0"/>
          <w:sz w:val="24"/>
        </w:rPr>
        <w:t>1</w:t>
      </w:r>
      <w:r>
        <w:rPr>
          <w:rFonts w:hint="eastAsia" w:ascii="宋体" w:hAnsi="宋体" w:cs="宋体"/>
          <w:color w:val="auto"/>
          <w:kern w:val="0"/>
          <w:sz w:val="24"/>
        </w:rPr>
        <w:t>5m。</w:t>
      </w:r>
    </w:p>
    <w:p>
      <w:pPr>
        <w:widowControl/>
        <w:autoSpaceDE w:val="0"/>
        <w:autoSpaceDN w:val="0"/>
        <w:adjustRightInd w:val="0"/>
        <w:spacing w:line="500" w:lineRule="exact"/>
        <w:ind w:firstLine="480" w:firstLineChars="200"/>
        <w:rPr>
          <w:rFonts w:ascii="宋体" w:hAnsi="宋体" w:cs="宋体"/>
          <w:color w:val="auto"/>
          <w:kern w:val="0"/>
          <w:sz w:val="24"/>
        </w:rPr>
      </w:pPr>
      <w:r>
        <w:rPr>
          <w:rFonts w:hint="eastAsia" w:ascii="宋体" w:hAnsi="宋体" w:cs="宋体"/>
          <w:color w:val="auto"/>
          <w:kern w:val="0"/>
          <w:sz w:val="24"/>
        </w:rPr>
        <w:t>平台设置：设置安全平台</w:t>
      </w:r>
      <w:r>
        <w:rPr>
          <w:rFonts w:ascii="宋体" w:hAnsi="宋体" w:cs="宋体"/>
          <w:color w:val="auto"/>
          <w:kern w:val="0"/>
          <w:sz w:val="24"/>
        </w:rPr>
        <w:t>4</w:t>
      </w:r>
      <w:r>
        <w:rPr>
          <w:rFonts w:hint="eastAsia" w:ascii="宋体" w:hAnsi="宋体" w:cs="宋体"/>
          <w:color w:val="auto"/>
          <w:kern w:val="0"/>
          <w:sz w:val="24"/>
        </w:rPr>
        <w:t>m，清扫平台6m，每隔2</w:t>
      </w:r>
      <w:r>
        <w:rPr>
          <w:rFonts w:ascii="宋体" w:hAnsi="宋体" w:cs="宋体"/>
          <w:color w:val="auto"/>
          <w:kern w:val="0"/>
          <w:sz w:val="24"/>
        </w:rPr>
        <w:t>-</w:t>
      </w:r>
      <w:r>
        <w:rPr>
          <w:rFonts w:hint="eastAsia" w:ascii="宋体" w:hAnsi="宋体" w:cs="宋体"/>
          <w:color w:val="auto"/>
          <w:kern w:val="0"/>
          <w:sz w:val="24"/>
        </w:rPr>
        <w:t>3个台阶设置一个清扫平台。</w:t>
      </w:r>
    </w:p>
    <w:p>
      <w:pPr>
        <w:widowControl/>
        <w:autoSpaceDE w:val="0"/>
        <w:autoSpaceDN w:val="0"/>
        <w:adjustRightInd w:val="0"/>
        <w:spacing w:line="500" w:lineRule="exact"/>
        <w:ind w:firstLine="480" w:firstLineChars="200"/>
        <w:rPr>
          <w:rFonts w:ascii="宋体" w:hAnsi="宋体" w:cs="宋体"/>
          <w:color w:val="auto"/>
          <w:kern w:val="0"/>
          <w:sz w:val="24"/>
        </w:rPr>
      </w:pPr>
      <w:r>
        <w:rPr>
          <w:rFonts w:hint="eastAsia" w:ascii="宋体" w:hAnsi="宋体" w:cs="宋体"/>
          <w:color w:val="auto"/>
          <w:kern w:val="0"/>
          <w:sz w:val="24"/>
        </w:rPr>
        <w:t>最终帮坡角2</w:t>
      </w:r>
      <w:r>
        <w:rPr>
          <w:rFonts w:ascii="宋体" w:hAnsi="宋体" w:cs="宋体"/>
          <w:color w:val="auto"/>
          <w:kern w:val="0"/>
          <w:sz w:val="24"/>
        </w:rPr>
        <w:t>1</w:t>
      </w:r>
      <w:r>
        <w:rPr>
          <w:rFonts w:hint="eastAsia" w:ascii="宋体" w:hAnsi="宋体" w:cs="宋体"/>
          <w:color w:val="auto"/>
          <w:kern w:val="0"/>
          <w:sz w:val="24"/>
        </w:rPr>
        <w:t>°。</w:t>
      </w:r>
    </w:p>
    <w:p>
      <w:pPr>
        <w:widowControl/>
        <w:autoSpaceDE w:val="0"/>
        <w:autoSpaceDN w:val="0"/>
        <w:adjustRightInd w:val="0"/>
        <w:spacing w:line="500" w:lineRule="exact"/>
        <w:ind w:firstLine="480" w:firstLineChars="200"/>
        <w:rPr>
          <w:rFonts w:ascii="宋体" w:hAnsi="宋体" w:cs="宋体"/>
          <w:color w:val="auto"/>
          <w:kern w:val="0"/>
          <w:sz w:val="24"/>
        </w:rPr>
      </w:pPr>
      <w:r>
        <w:rPr>
          <w:rFonts w:hint="eastAsia" w:ascii="宋体" w:hAnsi="宋体" w:cs="宋体"/>
          <w:color w:val="auto"/>
          <w:kern w:val="0"/>
          <w:sz w:val="24"/>
        </w:rPr>
        <w:t>（2）采剥作业</w:t>
      </w:r>
    </w:p>
    <w:p>
      <w:pPr>
        <w:widowControl/>
        <w:autoSpaceDE w:val="0"/>
        <w:autoSpaceDN w:val="0"/>
        <w:adjustRightInd w:val="0"/>
        <w:spacing w:line="500" w:lineRule="exact"/>
        <w:ind w:firstLine="480" w:firstLineChars="200"/>
        <w:rPr>
          <w:rFonts w:ascii="宋体" w:hAnsi="宋体" w:cs="宋体"/>
          <w:color w:val="auto"/>
          <w:kern w:val="0"/>
          <w:sz w:val="24"/>
        </w:rPr>
      </w:pPr>
      <w:r>
        <w:rPr>
          <w:rFonts w:hint="eastAsia" w:ascii="宋体" w:hAnsi="宋体" w:cs="宋体"/>
          <w:color w:val="auto"/>
          <w:kern w:val="0"/>
          <w:sz w:val="24"/>
        </w:rPr>
        <w:t>①剥离作业</w:t>
      </w:r>
    </w:p>
    <w:p>
      <w:pPr>
        <w:widowControl/>
        <w:autoSpaceDE w:val="0"/>
        <w:autoSpaceDN w:val="0"/>
        <w:adjustRightInd w:val="0"/>
        <w:spacing w:line="500" w:lineRule="exact"/>
        <w:ind w:firstLine="480" w:firstLineChars="200"/>
        <w:rPr>
          <w:rFonts w:ascii="宋体" w:hAnsi="宋体" w:cs="宋体"/>
          <w:color w:val="auto"/>
          <w:kern w:val="0"/>
          <w:sz w:val="24"/>
        </w:rPr>
      </w:pPr>
      <w:r>
        <w:rPr>
          <w:rFonts w:hint="eastAsia" w:ascii="宋体" w:hAnsi="宋体" w:cs="宋体"/>
          <w:color w:val="auto"/>
          <w:kern w:val="0"/>
          <w:sz w:val="24"/>
        </w:rPr>
        <w:t>矿体和地表覆盖层均为砂岩，无需凿岩爆破，挖掘机可直接挖掘装车。</w:t>
      </w:r>
    </w:p>
    <w:p>
      <w:pPr>
        <w:widowControl/>
        <w:autoSpaceDE w:val="0"/>
        <w:autoSpaceDN w:val="0"/>
        <w:adjustRightInd w:val="0"/>
        <w:spacing w:line="500" w:lineRule="exact"/>
        <w:ind w:firstLine="480" w:firstLineChars="200"/>
        <w:rPr>
          <w:rFonts w:ascii="宋体" w:hAnsi="宋体" w:cs="宋体"/>
          <w:color w:val="auto"/>
          <w:kern w:val="0"/>
          <w:sz w:val="24"/>
        </w:rPr>
      </w:pPr>
      <w:r>
        <w:rPr>
          <w:rFonts w:hint="eastAsia" w:ascii="宋体" w:hAnsi="宋体" w:cs="宋体"/>
          <w:color w:val="auto"/>
          <w:kern w:val="0"/>
          <w:sz w:val="24"/>
        </w:rPr>
        <w:t>②采矿作业</w:t>
      </w:r>
    </w:p>
    <w:p>
      <w:pPr>
        <w:widowControl/>
        <w:autoSpaceDE w:val="0"/>
        <w:autoSpaceDN w:val="0"/>
        <w:adjustRightInd w:val="0"/>
        <w:spacing w:line="500" w:lineRule="exact"/>
        <w:ind w:firstLine="480" w:firstLineChars="200"/>
        <w:rPr>
          <w:rFonts w:ascii="宋体" w:hAnsi="宋体" w:cs="宋体"/>
          <w:color w:val="auto"/>
          <w:kern w:val="0"/>
          <w:sz w:val="24"/>
        </w:rPr>
      </w:pPr>
      <w:r>
        <w:rPr>
          <w:rFonts w:hint="eastAsia" w:ascii="宋体" w:hAnsi="宋体" w:cs="宋体"/>
          <w:color w:val="auto"/>
          <w:kern w:val="0"/>
          <w:sz w:val="24"/>
        </w:rPr>
        <w:t>采用斗容1.0m</w:t>
      </w:r>
      <w:r>
        <w:rPr>
          <w:rFonts w:hint="eastAsia" w:ascii="宋体" w:hAnsi="宋体" w:cs="宋体"/>
          <w:color w:val="auto"/>
          <w:kern w:val="0"/>
          <w:sz w:val="24"/>
          <w:vertAlign w:val="superscript"/>
        </w:rPr>
        <w:t>3</w:t>
      </w:r>
      <w:r>
        <w:rPr>
          <w:rFonts w:hint="eastAsia" w:ascii="宋体" w:hAnsi="宋体" w:cs="宋体"/>
          <w:color w:val="auto"/>
          <w:kern w:val="0"/>
          <w:sz w:val="24"/>
        </w:rPr>
        <w:t>挖掘机直接铲装，矿石采用</w:t>
      </w:r>
      <w:r>
        <w:rPr>
          <w:rFonts w:ascii="宋体" w:hAnsi="宋体" w:cs="宋体"/>
          <w:color w:val="auto"/>
          <w:kern w:val="0"/>
          <w:sz w:val="24"/>
        </w:rPr>
        <w:t>2</w:t>
      </w:r>
      <w:r>
        <w:rPr>
          <w:rFonts w:hint="eastAsia" w:ascii="宋体" w:hAnsi="宋体" w:cs="宋体"/>
          <w:color w:val="auto"/>
          <w:kern w:val="0"/>
          <w:sz w:val="24"/>
        </w:rPr>
        <w:t>0t自卸汽车外运。</w:t>
      </w:r>
    </w:p>
    <w:p>
      <w:pPr>
        <w:widowControl/>
        <w:autoSpaceDE w:val="0"/>
        <w:autoSpaceDN w:val="0"/>
        <w:adjustRightInd w:val="0"/>
        <w:spacing w:line="500" w:lineRule="exact"/>
        <w:ind w:firstLine="480" w:firstLineChars="200"/>
        <w:rPr>
          <w:rFonts w:ascii="宋体" w:hAnsi="宋体" w:cs="宋体"/>
          <w:color w:val="auto"/>
          <w:kern w:val="0"/>
          <w:sz w:val="24"/>
        </w:rPr>
      </w:pPr>
      <w:r>
        <w:rPr>
          <w:rFonts w:hint="eastAsia" w:ascii="宋体" w:hAnsi="宋体" w:cs="宋体"/>
          <w:color w:val="auto"/>
          <w:kern w:val="0"/>
          <w:sz w:val="24"/>
        </w:rPr>
        <w:t>（3）装载设备</w:t>
      </w:r>
    </w:p>
    <w:p>
      <w:pPr>
        <w:widowControl/>
        <w:autoSpaceDE w:val="0"/>
        <w:autoSpaceDN w:val="0"/>
        <w:adjustRightInd w:val="0"/>
        <w:spacing w:line="500" w:lineRule="exact"/>
        <w:ind w:firstLine="480" w:firstLineChars="200"/>
        <w:rPr>
          <w:rFonts w:ascii="宋体" w:hAnsi="宋体" w:cs="宋体"/>
          <w:color w:val="auto"/>
          <w:kern w:val="0"/>
          <w:sz w:val="24"/>
        </w:rPr>
      </w:pPr>
      <w:r>
        <w:rPr>
          <w:rFonts w:hint="eastAsia" w:ascii="宋体" w:hAnsi="宋体" w:cs="宋体"/>
          <w:color w:val="auto"/>
          <w:kern w:val="0"/>
          <w:sz w:val="24"/>
        </w:rPr>
        <w:t>选用斗容1.0m</w:t>
      </w:r>
      <w:r>
        <w:rPr>
          <w:rFonts w:hint="eastAsia" w:ascii="宋体" w:hAnsi="宋体" w:cs="宋体"/>
          <w:color w:val="auto"/>
          <w:kern w:val="0"/>
          <w:sz w:val="24"/>
          <w:vertAlign w:val="superscript"/>
        </w:rPr>
        <w:t>3</w:t>
      </w:r>
      <w:r>
        <w:rPr>
          <w:rFonts w:hint="eastAsia" w:ascii="宋体" w:hAnsi="宋体" w:cs="宋体"/>
          <w:color w:val="auto"/>
          <w:kern w:val="0"/>
          <w:sz w:val="24"/>
        </w:rPr>
        <w:t>的液压挖掘机进行装载，配备2台挖掘机的装载能力可满足矿山生产能力的要求。</w:t>
      </w:r>
    </w:p>
    <w:p>
      <w:pPr>
        <w:widowControl/>
        <w:spacing w:line="500" w:lineRule="exact"/>
        <w:ind w:firstLine="482" w:firstLineChars="200"/>
        <w:rPr>
          <w:rFonts w:ascii="宋体" w:hAnsi="宋体"/>
          <w:b/>
          <w:bCs/>
          <w:color w:val="auto"/>
          <w:sz w:val="24"/>
        </w:rPr>
      </w:pPr>
      <w:r>
        <w:rPr>
          <w:rFonts w:hint="eastAsia" w:ascii="宋体" w:hAnsi="宋体"/>
          <w:b/>
          <w:bCs/>
          <w:color w:val="auto"/>
          <w:sz w:val="24"/>
        </w:rPr>
        <w:t>3）采场要素</w:t>
      </w:r>
    </w:p>
    <w:p>
      <w:pPr>
        <w:widowControl/>
        <w:spacing w:line="500" w:lineRule="exact"/>
        <w:ind w:firstLine="480" w:firstLineChars="200"/>
        <w:rPr>
          <w:rFonts w:ascii="宋体" w:hAnsi="宋体"/>
          <w:color w:val="auto"/>
          <w:sz w:val="24"/>
        </w:rPr>
      </w:pPr>
      <w:r>
        <w:rPr>
          <w:rFonts w:hint="eastAsia" w:ascii="宋体" w:hAnsi="宋体"/>
          <w:color w:val="auto"/>
          <w:sz w:val="24"/>
        </w:rPr>
        <w:t>根据可行性研究报告，采场要素如下：</w:t>
      </w:r>
    </w:p>
    <w:p>
      <w:pPr>
        <w:widowControl/>
        <w:spacing w:line="500" w:lineRule="exact"/>
        <w:jc w:val="center"/>
        <w:outlineLvl w:val="4"/>
        <w:rPr>
          <w:rFonts w:ascii="宋体" w:hAnsi="宋体"/>
          <w:b/>
          <w:color w:val="auto"/>
          <w:sz w:val="24"/>
        </w:rPr>
      </w:pPr>
      <w:r>
        <w:rPr>
          <w:rFonts w:hint="eastAsia" w:ascii="宋体" w:hAnsi="宋体"/>
          <w:b/>
          <w:color w:val="auto"/>
          <w:sz w:val="24"/>
        </w:rPr>
        <w:t>表2</w:t>
      </w:r>
      <w:r>
        <w:rPr>
          <w:rFonts w:ascii="宋体" w:hAnsi="宋体"/>
          <w:b/>
          <w:color w:val="auto"/>
          <w:sz w:val="24"/>
        </w:rPr>
        <w:t>.4</w:t>
      </w:r>
      <w:r>
        <w:rPr>
          <w:rFonts w:hint="eastAsia" w:ascii="宋体" w:hAnsi="宋体"/>
          <w:b/>
          <w:color w:val="auto"/>
          <w:sz w:val="24"/>
        </w:rPr>
        <w:t>-</w:t>
      </w:r>
      <w:r>
        <w:rPr>
          <w:rFonts w:ascii="宋体" w:hAnsi="宋体"/>
          <w:b/>
          <w:color w:val="auto"/>
          <w:sz w:val="24"/>
        </w:rPr>
        <w:t xml:space="preserve">3 </w:t>
      </w:r>
      <w:r>
        <w:rPr>
          <w:rFonts w:hint="eastAsia" w:ascii="宋体" w:hAnsi="宋体"/>
          <w:b/>
          <w:color w:val="auto"/>
          <w:sz w:val="24"/>
        </w:rPr>
        <w:t>采场要素汇总表</w:t>
      </w:r>
    </w:p>
    <w:tbl>
      <w:tblPr>
        <w:tblStyle w:val="41"/>
        <w:tblW w:w="8578"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1016"/>
        <w:gridCol w:w="2140"/>
        <w:gridCol w:w="1419"/>
        <w:gridCol w:w="1419"/>
        <w:gridCol w:w="2584"/>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42" w:hRule="atLeast"/>
          <w:jc w:val="center"/>
        </w:trPr>
        <w:tc>
          <w:tcPr>
            <w:tcW w:w="1016" w:type="dxa"/>
            <w:vAlign w:val="center"/>
          </w:tcPr>
          <w:p>
            <w:pPr>
              <w:widowControl/>
              <w:adjustRightInd w:val="0"/>
              <w:snapToGrid w:val="0"/>
              <w:jc w:val="center"/>
              <w:rPr>
                <w:rFonts w:ascii="宋体" w:hAnsi="宋体"/>
                <w:b/>
                <w:color w:val="auto"/>
                <w:szCs w:val="21"/>
              </w:rPr>
            </w:pPr>
            <w:r>
              <w:rPr>
                <w:rFonts w:ascii="宋体" w:hAnsi="宋体"/>
                <w:b/>
                <w:color w:val="auto"/>
                <w:szCs w:val="21"/>
              </w:rPr>
              <w:t>序号</w:t>
            </w:r>
          </w:p>
        </w:tc>
        <w:tc>
          <w:tcPr>
            <w:tcW w:w="2140" w:type="dxa"/>
            <w:vAlign w:val="center"/>
          </w:tcPr>
          <w:p>
            <w:pPr>
              <w:widowControl/>
              <w:adjustRightInd w:val="0"/>
              <w:snapToGrid w:val="0"/>
              <w:jc w:val="center"/>
              <w:rPr>
                <w:rFonts w:ascii="宋体" w:hAnsi="宋体"/>
                <w:b/>
                <w:color w:val="auto"/>
                <w:szCs w:val="21"/>
              </w:rPr>
            </w:pPr>
            <w:r>
              <w:rPr>
                <w:rFonts w:ascii="宋体" w:hAnsi="宋体"/>
                <w:b/>
                <w:color w:val="auto"/>
                <w:szCs w:val="21"/>
              </w:rPr>
              <w:t>项目</w:t>
            </w:r>
          </w:p>
        </w:tc>
        <w:tc>
          <w:tcPr>
            <w:tcW w:w="1419" w:type="dxa"/>
          </w:tcPr>
          <w:p>
            <w:pPr>
              <w:widowControl/>
              <w:adjustRightInd w:val="0"/>
              <w:snapToGrid w:val="0"/>
              <w:jc w:val="center"/>
              <w:rPr>
                <w:rFonts w:ascii="宋体" w:hAnsi="宋体"/>
                <w:b/>
                <w:color w:val="auto"/>
                <w:szCs w:val="21"/>
              </w:rPr>
            </w:pPr>
            <w:r>
              <w:rPr>
                <w:rFonts w:hint="eastAsia" w:ascii="宋体" w:hAnsi="宋体"/>
                <w:b/>
                <w:color w:val="auto"/>
                <w:szCs w:val="21"/>
              </w:rPr>
              <w:t>参数</w:t>
            </w:r>
          </w:p>
        </w:tc>
        <w:tc>
          <w:tcPr>
            <w:tcW w:w="1419" w:type="dxa"/>
            <w:vAlign w:val="center"/>
          </w:tcPr>
          <w:p>
            <w:pPr>
              <w:widowControl/>
              <w:adjustRightInd w:val="0"/>
              <w:snapToGrid w:val="0"/>
              <w:jc w:val="center"/>
              <w:rPr>
                <w:rFonts w:ascii="宋体" w:hAnsi="宋体"/>
                <w:b/>
                <w:color w:val="auto"/>
                <w:szCs w:val="21"/>
              </w:rPr>
            </w:pPr>
            <w:r>
              <w:rPr>
                <w:rFonts w:ascii="宋体" w:hAnsi="宋体"/>
                <w:b/>
                <w:color w:val="auto"/>
                <w:szCs w:val="21"/>
              </w:rPr>
              <w:t>参数</w:t>
            </w:r>
          </w:p>
        </w:tc>
        <w:tc>
          <w:tcPr>
            <w:tcW w:w="2584" w:type="dxa"/>
            <w:vAlign w:val="center"/>
          </w:tcPr>
          <w:p>
            <w:pPr>
              <w:widowControl/>
              <w:adjustRightInd w:val="0"/>
              <w:snapToGrid w:val="0"/>
              <w:jc w:val="center"/>
              <w:rPr>
                <w:rFonts w:ascii="宋体" w:hAnsi="宋体"/>
                <w:b/>
                <w:color w:val="auto"/>
                <w:szCs w:val="21"/>
              </w:rPr>
            </w:pPr>
            <w:r>
              <w:rPr>
                <w:rFonts w:ascii="宋体" w:hAnsi="宋体"/>
                <w:b/>
                <w:color w:val="auto"/>
                <w:szCs w:val="21"/>
              </w:rPr>
              <w:t>备注</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39" w:hRule="atLeast"/>
          <w:jc w:val="center"/>
        </w:trPr>
        <w:tc>
          <w:tcPr>
            <w:tcW w:w="1016" w:type="dxa"/>
            <w:vAlign w:val="center"/>
          </w:tcPr>
          <w:p>
            <w:pPr>
              <w:widowControl/>
              <w:adjustRightInd w:val="0"/>
              <w:snapToGrid w:val="0"/>
              <w:jc w:val="center"/>
              <w:rPr>
                <w:rFonts w:ascii="宋体" w:hAnsi="宋体"/>
                <w:color w:val="auto"/>
                <w:szCs w:val="21"/>
              </w:rPr>
            </w:pPr>
            <w:r>
              <w:rPr>
                <w:rFonts w:ascii="宋体" w:hAnsi="宋体"/>
                <w:color w:val="auto"/>
                <w:szCs w:val="21"/>
              </w:rPr>
              <w:t>1</w:t>
            </w:r>
          </w:p>
        </w:tc>
        <w:tc>
          <w:tcPr>
            <w:tcW w:w="2140" w:type="dxa"/>
            <w:vAlign w:val="center"/>
          </w:tcPr>
          <w:p>
            <w:pPr>
              <w:widowControl/>
              <w:adjustRightInd w:val="0"/>
              <w:snapToGrid w:val="0"/>
              <w:jc w:val="center"/>
              <w:rPr>
                <w:rFonts w:ascii="宋体" w:hAnsi="宋体"/>
                <w:bCs/>
                <w:color w:val="auto"/>
                <w:szCs w:val="21"/>
              </w:rPr>
            </w:pPr>
            <w:r>
              <w:rPr>
                <w:rFonts w:hint="eastAsia" w:ascii="宋体" w:hAnsi="宋体"/>
                <w:bCs/>
                <w:color w:val="auto"/>
                <w:szCs w:val="21"/>
              </w:rPr>
              <w:t>阶段高度</w:t>
            </w:r>
          </w:p>
        </w:tc>
        <w:tc>
          <w:tcPr>
            <w:tcW w:w="1419" w:type="dxa"/>
            <w:vAlign w:val="center"/>
          </w:tcPr>
          <w:p>
            <w:pPr>
              <w:widowControl/>
              <w:adjustRightInd w:val="0"/>
              <w:snapToGrid w:val="0"/>
              <w:jc w:val="center"/>
              <w:rPr>
                <w:rFonts w:ascii="宋体" w:hAnsi="宋体"/>
                <w:bCs/>
                <w:color w:val="auto"/>
                <w:szCs w:val="21"/>
              </w:rPr>
            </w:pPr>
            <w:r>
              <w:rPr>
                <w:rFonts w:ascii="宋体" w:hAnsi="宋体"/>
                <w:bCs/>
                <w:color w:val="auto"/>
                <w:szCs w:val="21"/>
              </w:rPr>
              <w:t>m</w:t>
            </w:r>
          </w:p>
        </w:tc>
        <w:tc>
          <w:tcPr>
            <w:tcW w:w="1419" w:type="dxa"/>
            <w:vAlign w:val="center"/>
          </w:tcPr>
          <w:p>
            <w:pPr>
              <w:widowControl/>
              <w:adjustRightInd w:val="0"/>
              <w:snapToGrid w:val="0"/>
              <w:jc w:val="center"/>
              <w:rPr>
                <w:rFonts w:ascii="宋体" w:hAnsi="宋体"/>
                <w:bCs/>
                <w:color w:val="auto"/>
                <w:szCs w:val="21"/>
              </w:rPr>
            </w:pPr>
            <w:r>
              <w:rPr>
                <w:rFonts w:ascii="宋体" w:hAnsi="宋体"/>
                <w:bCs/>
                <w:color w:val="auto"/>
                <w:szCs w:val="21"/>
              </w:rPr>
              <w:t>5</w:t>
            </w:r>
          </w:p>
        </w:tc>
        <w:tc>
          <w:tcPr>
            <w:tcW w:w="2584" w:type="dxa"/>
            <w:vAlign w:val="center"/>
          </w:tcPr>
          <w:p>
            <w:pPr>
              <w:widowControl/>
              <w:adjustRightInd w:val="0"/>
              <w:snapToGrid w:val="0"/>
              <w:jc w:val="center"/>
              <w:rPr>
                <w:rFonts w:ascii="宋体" w:hAnsi="宋体"/>
                <w:bCs/>
                <w:color w:val="auto"/>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39" w:hRule="atLeast"/>
          <w:jc w:val="center"/>
        </w:trPr>
        <w:tc>
          <w:tcPr>
            <w:tcW w:w="1016" w:type="dxa"/>
            <w:vAlign w:val="center"/>
          </w:tcPr>
          <w:p>
            <w:pPr>
              <w:widowControl/>
              <w:adjustRightInd w:val="0"/>
              <w:snapToGrid w:val="0"/>
              <w:jc w:val="center"/>
              <w:rPr>
                <w:rFonts w:ascii="宋体" w:hAnsi="宋体"/>
                <w:color w:val="auto"/>
                <w:szCs w:val="21"/>
              </w:rPr>
            </w:pPr>
            <w:r>
              <w:rPr>
                <w:rFonts w:ascii="宋体" w:hAnsi="宋体"/>
                <w:color w:val="auto"/>
                <w:szCs w:val="21"/>
              </w:rPr>
              <w:t>2</w:t>
            </w:r>
          </w:p>
        </w:tc>
        <w:tc>
          <w:tcPr>
            <w:tcW w:w="2140" w:type="dxa"/>
            <w:vAlign w:val="center"/>
          </w:tcPr>
          <w:p>
            <w:pPr>
              <w:widowControl/>
              <w:adjustRightInd w:val="0"/>
              <w:snapToGrid w:val="0"/>
              <w:jc w:val="center"/>
              <w:rPr>
                <w:rFonts w:ascii="宋体" w:hAnsi="宋体"/>
                <w:bCs/>
                <w:color w:val="auto"/>
                <w:szCs w:val="21"/>
              </w:rPr>
            </w:pPr>
            <w:r>
              <w:rPr>
                <w:rFonts w:hint="eastAsia" w:ascii="宋体" w:hAnsi="宋体"/>
                <w:bCs/>
                <w:color w:val="auto"/>
                <w:szCs w:val="21"/>
              </w:rPr>
              <w:t>台阶边坡角</w:t>
            </w:r>
          </w:p>
        </w:tc>
        <w:tc>
          <w:tcPr>
            <w:tcW w:w="1419" w:type="dxa"/>
            <w:vAlign w:val="center"/>
          </w:tcPr>
          <w:p>
            <w:pPr>
              <w:widowControl/>
              <w:adjustRightInd w:val="0"/>
              <w:snapToGrid w:val="0"/>
              <w:jc w:val="center"/>
              <w:rPr>
                <w:rFonts w:ascii="宋体" w:hAnsi="宋体"/>
                <w:bCs/>
                <w:color w:val="auto"/>
                <w:szCs w:val="21"/>
              </w:rPr>
            </w:pPr>
            <w:r>
              <w:rPr>
                <w:rFonts w:ascii="宋体" w:hAnsi="宋体"/>
                <w:bCs/>
                <w:color w:val="auto"/>
                <w:szCs w:val="21"/>
              </w:rPr>
              <w:t>°</w:t>
            </w:r>
          </w:p>
        </w:tc>
        <w:tc>
          <w:tcPr>
            <w:tcW w:w="1419" w:type="dxa"/>
            <w:vAlign w:val="center"/>
          </w:tcPr>
          <w:p>
            <w:pPr>
              <w:widowControl/>
              <w:adjustRightInd w:val="0"/>
              <w:snapToGrid w:val="0"/>
              <w:jc w:val="center"/>
              <w:rPr>
                <w:rFonts w:ascii="宋体" w:hAnsi="宋体"/>
                <w:bCs/>
                <w:color w:val="auto"/>
                <w:szCs w:val="21"/>
              </w:rPr>
            </w:pPr>
            <w:r>
              <w:rPr>
                <w:rFonts w:ascii="宋体" w:hAnsi="宋体"/>
                <w:bCs/>
                <w:color w:val="auto"/>
                <w:szCs w:val="21"/>
              </w:rPr>
              <w:t>45/</w:t>
            </w:r>
            <w:r>
              <w:rPr>
                <w:rFonts w:hint="eastAsia" w:ascii="宋体" w:hAnsi="宋体"/>
                <w:bCs/>
                <w:color w:val="auto"/>
                <w:szCs w:val="21"/>
              </w:rPr>
              <w:t>55</w:t>
            </w:r>
          </w:p>
        </w:tc>
        <w:tc>
          <w:tcPr>
            <w:tcW w:w="2584" w:type="dxa"/>
            <w:vAlign w:val="center"/>
          </w:tcPr>
          <w:p>
            <w:pPr>
              <w:widowControl/>
              <w:adjustRightInd w:val="0"/>
              <w:snapToGrid w:val="0"/>
              <w:jc w:val="center"/>
              <w:rPr>
                <w:rFonts w:ascii="宋体" w:hAnsi="宋体"/>
                <w:bCs/>
                <w:color w:val="auto"/>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39" w:hRule="atLeast"/>
          <w:jc w:val="center"/>
        </w:trPr>
        <w:tc>
          <w:tcPr>
            <w:tcW w:w="1016" w:type="dxa"/>
            <w:vAlign w:val="center"/>
          </w:tcPr>
          <w:p>
            <w:pPr>
              <w:widowControl/>
              <w:adjustRightInd w:val="0"/>
              <w:snapToGrid w:val="0"/>
              <w:jc w:val="center"/>
              <w:rPr>
                <w:rFonts w:ascii="宋体" w:hAnsi="宋体"/>
                <w:color w:val="auto"/>
                <w:szCs w:val="21"/>
              </w:rPr>
            </w:pPr>
            <w:r>
              <w:rPr>
                <w:rFonts w:ascii="宋体" w:hAnsi="宋体"/>
                <w:color w:val="auto"/>
                <w:szCs w:val="21"/>
              </w:rPr>
              <w:t>3</w:t>
            </w:r>
          </w:p>
        </w:tc>
        <w:tc>
          <w:tcPr>
            <w:tcW w:w="2140" w:type="dxa"/>
            <w:vAlign w:val="center"/>
          </w:tcPr>
          <w:p>
            <w:pPr>
              <w:widowControl/>
              <w:adjustRightInd w:val="0"/>
              <w:snapToGrid w:val="0"/>
              <w:jc w:val="center"/>
              <w:rPr>
                <w:rFonts w:ascii="宋体" w:hAnsi="宋体"/>
                <w:bCs/>
                <w:color w:val="auto"/>
                <w:szCs w:val="21"/>
              </w:rPr>
            </w:pPr>
            <w:r>
              <w:rPr>
                <w:rFonts w:hint="eastAsia" w:ascii="宋体" w:hAnsi="宋体"/>
                <w:bCs/>
                <w:color w:val="auto"/>
                <w:szCs w:val="21"/>
              </w:rPr>
              <w:t>最终帮坡角</w:t>
            </w:r>
          </w:p>
        </w:tc>
        <w:tc>
          <w:tcPr>
            <w:tcW w:w="1419" w:type="dxa"/>
            <w:vAlign w:val="center"/>
          </w:tcPr>
          <w:p>
            <w:pPr>
              <w:widowControl/>
              <w:adjustRightInd w:val="0"/>
              <w:snapToGrid w:val="0"/>
              <w:jc w:val="center"/>
              <w:rPr>
                <w:rFonts w:ascii="宋体" w:hAnsi="宋体"/>
                <w:bCs/>
                <w:color w:val="auto"/>
                <w:szCs w:val="21"/>
              </w:rPr>
            </w:pPr>
            <w:r>
              <w:rPr>
                <w:rFonts w:ascii="宋体" w:hAnsi="宋体"/>
                <w:bCs/>
                <w:color w:val="auto"/>
                <w:szCs w:val="21"/>
              </w:rPr>
              <w:t>°</w:t>
            </w:r>
          </w:p>
        </w:tc>
        <w:tc>
          <w:tcPr>
            <w:tcW w:w="1419" w:type="dxa"/>
            <w:vAlign w:val="center"/>
          </w:tcPr>
          <w:p>
            <w:pPr>
              <w:widowControl/>
              <w:adjustRightInd w:val="0"/>
              <w:snapToGrid w:val="0"/>
              <w:jc w:val="center"/>
              <w:rPr>
                <w:rFonts w:ascii="宋体" w:hAnsi="宋体"/>
                <w:bCs/>
                <w:color w:val="auto"/>
                <w:szCs w:val="21"/>
              </w:rPr>
            </w:pPr>
            <w:r>
              <w:rPr>
                <w:rFonts w:hint="eastAsia" w:ascii="宋体" w:hAnsi="宋体"/>
                <w:bCs/>
                <w:color w:val="auto"/>
                <w:szCs w:val="21"/>
              </w:rPr>
              <w:t>21</w:t>
            </w:r>
          </w:p>
        </w:tc>
        <w:tc>
          <w:tcPr>
            <w:tcW w:w="2584" w:type="dxa"/>
            <w:vAlign w:val="center"/>
          </w:tcPr>
          <w:p>
            <w:pPr>
              <w:widowControl/>
              <w:adjustRightInd w:val="0"/>
              <w:snapToGrid w:val="0"/>
              <w:jc w:val="center"/>
              <w:rPr>
                <w:rFonts w:ascii="宋体" w:hAnsi="宋体"/>
                <w:bCs/>
                <w:color w:val="auto"/>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39" w:hRule="atLeast"/>
          <w:jc w:val="center"/>
        </w:trPr>
        <w:tc>
          <w:tcPr>
            <w:tcW w:w="1016" w:type="dxa"/>
            <w:vAlign w:val="center"/>
          </w:tcPr>
          <w:p>
            <w:pPr>
              <w:widowControl/>
              <w:adjustRightInd w:val="0"/>
              <w:snapToGrid w:val="0"/>
              <w:jc w:val="center"/>
              <w:rPr>
                <w:rFonts w:ascii="宋体" w:hAnsi="宋体"/>
                <w:color w:val="auto"/>
                <w:szCs w:val="21"/>
              </w:rPr>
            </w:pPr>
            <w:r>
              <w:rPr>
                <w:rFonts w:ascii="宋体" w:hAnsi="宋体"/>
                <w:color w:val="auto"/>
                <w:szCs w:val="21"/>
              </w:rPr>
              <w:t>4</w:t>
            </w:r>
          </w:p>
        </w:tc>
        <w:tc>
          <w:tcPr>
            <w:tcW w:w="2140" w:type="dxa"/>
            <w:vAlign w:val="center"/>
          </w:tcPr>
          <w:p>
            <w:pPr>
              <w:widowControl/>
              <w:adjustRightInd w:val="0"/>
              <w:snapToGrid w:val="0"/>
              <w:jc w:val="center"/>
              <w:rPr>
                <w:rFonts w:ascii="宋体" w:hAnsi="宋体"/>
                <w:bCs/>
                <w:color w:val="auto"/>
                <w:szCs w:val="21"/>
              </w:rPr>
            </w:pPr>
            <w:r>
              <w:rPr>
                <w:rFonts w:hint="eastAsia" w:ascii="宋体" w:hAnsi="宋体"/>
                <w:bCs/>
                <w:color w:val="auto"/>
                <w:szCs w:val="21"/>
              </w:rPr>
              <w:t>安全平台宽度</w:t>
            </w:r>
          </w:p>
        </w:tc>
        <w:tc>
          <w:tcPr>
            <w:tcW w:w="1419" w:type="dxa"/>
            <w:vAlign w:val="center"/>
          </w:tcPr>
          <w:p>
            <w:pPr>
              <w:widowControl/>
              <w:adjustRightInd w:val="0"/>
              <w:snapToGrid w:val="0"/>
              <w:jc w:val="center"/>
              <w:rPr>
                <w:rFonts w:ascii="宋体" w:hAnsi="宋体"/>
                <w:bCs/>
                <w:color w:val="auto"/>
                <w:szCs w:val="21"/>
              </w:rPr>
            </w:pPr>
            <w:r>
              <w:rPr>
                <w:rFonts w:ascii="宋体" w:hAnsi="宋体"/>
                <w:bCs/>
                <w:color w:val="auto"/>
                <w:szCs w:val="21"/>
              </w:rPr>
              <w:t>m</w:t>
            </w:r>
          </w:p>
        </w:tc>
        <w:tc>
          <w:tcPr>
            <w:tcW w:w="1419" w:type="dxa"/>
            <w:vAlign w:val="center"/>
          </w:tcPr>
          <w:p>
            <w:pPr>
              <w:widowControl/>
              <w:adjustRightInd w:val="0"/>
              <w:snapToGrid w:val="0"/>
              <w:jc w:val="center"/>
              <w:rPr>
                <w:rFonts w:ascii="宋体" w:hAnsi="宋体"/>
                <w:bCs/>
                <w:color w:val="auto"/>
                <w:szCs w:val="21"/>
              </w:rPr>
            </w:pPr>
            <w:r>
              <w:rPr>
                <w:rFonts w:hint="eastAsia" w:ascii="宋体" w:hAnsi="宋体"/>
                <w:bCs/>
                <w:color w:val="auto"/>
                <w:szCs w:val="21"/>
              </w:rPr>
              <w:t>4</w:t>
            </w:r>
          </w:p>
        </w:tc>
        <w:tc>
          <w:tcPr>
            <w:tcW w:w="2584" w:type="dxa"/>
            <w:vAlign w:val="center"/>
          </w:tcPr>
          <w:p>
            <w:pPr>
              <w:widowControl/>
              <w:adjustRightInd w:val="0"/>
              <w:snapToGrid w:val="0"/>
              <w:jc w:val="center"/>
              <w:rPr>
                <w:rFonts w:ascii="宋体" w:hAnsi="宋体"/>
                <w:bCs/>
                <w:color w:val="auto"/>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39" w:hRule="atLeast"/>
          <w:jc w:val="center"/>
        </w:trPr>
        <w:tc>
          <w:tcPr>
            <w:tcW w:w="1016" w:type="dxa"/>
            <w:vAlign w:val="center"/>
          </w:tcPr>
          <w:p>
            <w:pPr>
              <w:widowControl/>
              <w:adjustRightInd w:val="0"/>
              <w:snapToGrid w:val="0"/>
              <w:jc w:val="center"/>
              <w:rPr>
                <w:rFonts w:ascii="宋体" w:hAnsi="宋体"/>
                <w:color w:val="auto"/>
                <w:szCs w:val="21"/>
              </w:rPr>
            </w:pPr>
            <w:r>
              <w:rPr>
                <w:rFonts w:ascii="宋体" w:hAnsi="宋体"/>
                <w:color w:val="auto"/>
                <w:szCs w:val="21"/>
              </w:rPr>
              <w:t>5</w:t>
            </w:r>
          </w:p>
        </w:tc>
        <w:tc>
          <w:tcPr>
            <w:tcW w:w="2140" w:type="dxa"/>
            <w:vAlign w:val="center"/>
          </w:tcPr>
          <w:p>
            <w:pPr>
              <w:widowControl/>
              <w:adjustRightInd w:val="0"/>
              <w:snapToGrid w:val="0"/>
              <w:jc w:val="center"/>
              <w:rPr>
                <w:rFonts w:ascii="宋体" w:hAnsi="宋体"/>
                <w:bCs/>
                <w:color w:val="auto"/>
                <w:szCs w:val="21"/>
              </w:rPr>
            </w:pPr>
            <w:r>
              <w:rPr>
                <w:rFonts w:hint="eastAsia" w:ascii="宋体" w:hAnsi="宋体"/>
                <w:bCs/>
                <w:color w:val="auto"/>
                <w:szCs w:val="21"/>
              </w:rPr>
              <w:t>清扫平台宽度</w:t>
            </w:r>
          </w:p>
        </w:tc>
        <w:tc>
          <w:tcPr>
            <w:tcW w:w="1419" w:type="dxa"/>
            <w:vAlign w:val="center"/>
          </w:tcPr>
          <w:p>
            <w:pPr>
              <w:widowControl/>
              <w:adjustRightInd w:val="0"/>
              <w:snapToGrid w:val="0"/>
              <w:jc w:val="center"/>
              <w:rPr>
                <w:rFonts w:ascii="宋体" w:hAnsi="宋体"/>
                <w:bCs/>
                <w:color w:val="auto"/>
                <w:szCs w:val="21"/>
              </w:rPr>
            </w:pPr>
            <w:r>
              <w:rPr>
                <w:rFonts w:ascii="宋体" w:hAnsi="宋体"/>
                <w:bCs/>
                <w:color w:val="auto"/>
                <w:szCs w:val="21"/>
              </w:rPr>
              <w:t>m</w:t>
            </w:r>
          </w:p>
        </w:tc>
        <w:tc>
          <w:tcPr>
            <w:tcW w:w="1419" w:type="dxa"/>
            <w:vAlign w:val="center"/>
          </w:tcPr>
          <w:p>
            <w:pPr>
              <w:widowControl/>
              <w:adjustRightInd w:val="0"/>
              <w:snapToGrid w:val="0"/>
              <w:jc w:val="center"/>
              <w:rPr>
                <w:rFonts w:ascii="宋体" w:hAnsi="宋体"/>
                <w:bCs/>
                <w:color w:val="auto"/>
                <w:szCs w:val="21"/>
              </w:rPr>
            </w:pPr>
            <w:r>
              <w:rPr>
                <w:rFonts w:hint="eastAsia" w:ascii="宋体" w:hAnsi="宋体"/>
                <w:bCs/>
                <w:color w:val="auto"/>
                <w:szCs w:val="21"/>
              </w:rPr>
              <w:t>6</w:t>
            </w:r>
          </w:p>
        </w:tc>
        <w:tc>
          <w:tcPr>
            <w:tcW w:w="2584" w:type="dxa"/>
            <w:vAlign w:val="center"/>
          </w:tcPr>
          <w:p>
            <w:pPr>
              <w:widowControl/>
              <w:adjustRightInd w:val="0"/>
              <w:snapToGrid w:val="0"/>
              <w:jc w:val="center"/>
              <w:rPr>
                <w:rFonts w:ascii="宋体" w:hAnsi="宋体"/>
                <w:bCs/>
                <w:color w:val="auto"/>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252" w:hRule="atLeast"/>
          <w:jc w:val="center"/>
        </w:trPr>
        <w:tc>
          <w:tcPr>
            <w:tcW w:w="1016" w:type="dxa"/>
            <w:vAlign w:val="center"/>
          </w:tcPr>
          <w:p>
            <w:pPr>
              <w:widowControl/>
              <w:adjustRightInd w:val="0"/>
              <w:snapToGrid w:val="0"/>
              <w:jc w:val="center"/>
              <w:rPr>
                <w:rFonts w:ascii="宋体" w:hAnsi="宋体"/>
                <w:color w:val="auto"/>
                <w:szCs w:val="21"/>
              </w:rPr>
            </w:pPr>
            <w:r>
              <w:rPr>
                <w:rFonts w:ascii="宋体" w:hAnsi="宋体"/>
                <w:color w:val="auto"/>
                <w:szCs w:val="21"/>
              </w:rPr>
              <w:t>6</w:t>
            </w:r>
          </w:p>
        </w:tc>
        <w:tc>
          <w:tcPr>
            <w:tcW w:w="2140" w:type="dxa"/>
            <w:vAlign w:val="center"/>
          </w:tcPr>
          <w:p>
            <w:pPr>
              <w:widowControl/>
              <w:adjustRightInd w:val="0"/>
              <w:snapToGrid w:val="0"/>
              <w:jc w:val="center"/>
              <w:rPr>
                <w:rFonts w:ascii="宋体" w:hAnsi="宋体"/>
                <w:bCs/>
                <w:color w:val="auto"/>
                <w:szCs w:val="21"/>
              </w:rPr>
            </w:pPr>
            <w:r>
              <w:rPr>
                <w:rFonts w:hint="eastAsia" w:ascii="宋体" w:hAnsi="宋体"/>
                <w:bCs/>
                <w:color w:val="auto"/>
                <w:szCs w:val="21"/>
              </w:rPr>
              <w:t>工作台阶宽度</w:t>
            </w:r>
          </w:p>
        </w:tc>
        <w:tc>
          <w:tcPr>
            <w:tcW w:w="1419" w:type="dxa"/>
            <w:vAlign w:val="center"/>
          </w:tcPr>
          <w:p>
            <w:pPr>
              <w:widowControl/>
              <w:adjustRightInd w:val="0"/>
              <w:snapToGrid w:val="0"/>
              <w:jc w:val="center"/>
              <w:rPr>
                <w:rFonts w:ascii="宋体" w:hAnsi="宋体"/>
                <w:bCs/>
                <w:color w:val="auto"/>
                <w:szCs w:val="21"/>
              </w:rPr>
            </w:pPr>
            <w:r>
              <w:rPr>
                <w:rFonts w:hint="eastAsia" w:ascii="宋体" w:hAnsi="宋体"/>
                <w:bCs/>
                <w:color w:val="auto"/>
                <w:szCs w:val="21"/>
              </w:rPr>
              <w:t>m</w:t>
            </w:r>
          </w:p>
        </w:tc>
        <w:tc>
          <w:tcPr>
            <w:tcW w:w="1419" w:type="dxa"/>
            <w:vAlign w:val="center"/>
          </w:tcPr>
          <w:p>
            <w:pPr>
              <w:widowControl/>
              <w:adjustRightInd w:val="0"/>
              <w:snapToGrid w:val="0"/>
              <w:jc w:val="center"/>
              <w:rPr>
                <w:rFonts w:ascii="宋体" w:hAnsi="宋体"/>
                <w:bCs/>
                <w:color w:val="auto"/>
                <w:szCs w:val="21"/>
              </w:rPr>
            </w:pPr>
            <w:r>
              <w:rPr>
                <w:rFonts w:ascii="宋体" w:hAnsi="宋体"/>
                <w:bCs/>
                <w:color w:val="auto"/>
                <w:szCs w:val="21"/>
              </w:rPr>
              <w:t>15</w:t>
            </w:r>
          </w:p>
        </w:tc>
        <w:tc>
          <w:tcPr>
            <w:tcW w:w="2584" w:type="dxa"/>
            <w:vAlign w:val="center"/>
          </w:tcPr>
          <w:p>
            <w:pPr>
              <w:widowControl/>
              <w:adjustRightInd w:val="0"/>
              <w:snapToGrid w:val="0"/>
              <w:jc w:val="center"/>
              <w:rPr>
                <w:rFonts w:ascii="宋体" w:hAnsi="宋体"/>
                <w:bCs/>
                <w:color w:val="auto"/>
                <w:szCs w:val="21"/>
              </w:rPr>
            </w:pPr>
          </w:p>
        </w:tc>
      </w:tr>
    </w:tbl>
    <w:p>
      <w:pPr>
        <w:pStyle w:val="5"/>
        <w:keepLines w:val="0"/>
        <w:widowControl/>
        <w:spacing w:before="120" w:after="120" w:line="500" w:lineRule="exact"/>
        <w:rPr>
          <w:rFonts w:ascii="宋体" w:hAnsi="宋体"/>
          <w:color w:val="auto"/>
          <w:kern w:val="28"/>
          <w:sz w:val="28"/>
          <w:szCs w:val="28"/>
        </w:rPr>
      </w:pPr>
      <w:r>
        <w:rPr>
          <w:rFonts w:hint="eastAsia" w:ascii="宋体" w:hAnsi="宋体"/>
          <w:color w:val="auto"/>
          <w:kern w:val="28"/>
          <w:sz w:val="28"/>
          <w:szCs w:val="28"/>
        </w:rPr>
        <w:t>2.4.</w:t>
      </w:r>
      <w:r>
        <w:rPr>
          <w:rFonts w:ascii="宋体" w:hAnsi="宋体"/>
          <w:color w:val="auto"/>
          <w:kern w:val="28"/>
          <w:sz w:val="28"/>
          <w:szCs w:val="28"/>
        </w:rPr>
        <w:t>7通风防尘系统</w:t>
      </w:r>
    </w:p>
    <w:p>
      <w:pPr>
        <w:widowControl/>
        <w:spacing w:line="500" w:lineRule="exact"/>
        <w:ind w:firstLine="480" w:firstLineChars="200"/>
        <w:rPr>
          <w:rFonts w:ascii="宋体" w:hAnsi="宋体"/>
          <w:color w:val="auto"/>
          <w:sz w:val="24"/>
        </w:rPr>
      </w:pPr>
      <w:r>
        <w:rPr>
          <w:rFonts w:hint="eastAsia" w:ascii="宋体" w:hAnsi="宋体"/>
          <w:color w:val="auto"/>
          <w:sz w:val="24"/>
        </w:rPr>
        <w:t>矿山开采过程中主要通过</w:t>
      </w:r>
      <w:r>
        <w:rPr>
          <w:rFonts w:ascii="宋体" w:hAnsi="宋体"/>
          <w:color w:val="auto"/>
          <w:sz w:val="24"/>
        </w:rPr>
        <w:t>湿式作业、</w:t>
      </w:r>
      <w:r>
        <w:rPr>
          <w:rFonts w:hint="eastAsia" w:ascii="宋体" w:hAnsi="宋体"/>
          <w:color w:val="auto"/>
          <w:sz w:val="24"/>
        </w:rPr>
        <w:t>配备</w:t>
      </w:r>
      <w:r>
        <w:rPr>
          <w:rFonts w:ascii="宋体" w:hAnsi="宋体"/>
          <w:color w:val="auto"/>
          <w:sz w:val="24"/>
        </w:rPr>
        <w:t>洒水设备、加强个人防护等措施加以防护</w:t>
      </w:r>
      <w:r>
        <w:rPr>
          <w:rFonts w:hint="eastAsia" w:ascii="宋体" w:hAnsi="宋体"/>
          <w:color w:val="auto"/>
          <w:sz w:val="24"/>
        </w:rPr>
        <w:t>。</w:t>
      </w:r>
    </w:p>
    <w:p>
      <w:pPr>
        <w:widowControl/>
        <w:spacing w:line="500" w:lineRule="exact"/>
        <w:ind w:firstLine="480" w:firstLineChars="200"/>
        <w:rPr>
          <w:rFonts w:ascii="宋体" w:hAnsi="宋体"/>
          <w:color w:val="auto"/>
          <w:sz w:val="24"/>
        </w:rPr>
      </w:pPr>
      <w:r>
        <w:rPr>
          <w:rFonts w:hint="eastAsia" w:ascii="宋体" w:hAnsi="宋体"/>
          <w:color w:val="auto"/>
          <w:sz w:val="24"/>
        </w:rPr>
        <w:t>该矿山</w:t>
      </w:r>
      <w:r>
        <w:rPr>
          <w:rFonts w:ascii="宋体" w:hAnsi="宋体"/>
          <w:color w:val="auto"/>
          <w:sz w:val="24"/>
        </w:rPr>
        <w:t>为山坡露天开采，不设</w:t>
      </w:r>
      <w:r>
        <w:rPr>
          <w:rFonts w:hint="eastAsia" w:ascii="宋体" w:hAnsi="宋体"/>
          <w:color w:val="auto"/>
          <w:sz w:val="24"/>
        </w:rPr>
        <w:t>通风</w:t>
      </w:r>
      <w:r>
        <w:rPr>
          <w:rFonts w:ascii="宋体" w:hAnsi="宋体"/>
          <w:color w:val="auto"/>
          <w:sz w:val="24"/>
        </w:rPr>
        <w:t>系统。</w:t>
      </w:r>
    </w:p>
    <w:p>
      <w:pPr>
        <w:pStyle w:val="5"/>
        <w:keepLines w:val="0"/>
        <w:widowControl/>
        <w:spacing w:before="120" w:after="120" w:line="500" w:lineRule="exact"/>
        <w:rPr>
          <w:rFonts w:ascii="宋体" w:hAnsi="宋体"/>
          <w:color w:val="auto"/>
          <w:kern w:val="28"/>
          <w:sz w:val="28"/>
          <w:szCs w:val="28"/>
        </w:rPr>
      </w:pPr>
      <w:r>
        <w:rPr>
          <w:rFonts w:hint="eastAsia" w:ascii="宋体" w:hAnsi="宋体"/>
          <w:color w:val="auto"/>
          <w:kern w:val="28"/>
          <w:sz w:val="28"/>
          <w:szCs w:val="28"/>
        </w:rPr>
        <w:t>2.4.</w:t>
      </w:r>
      <w:r>
        <w:rPr>
          <w:rFonts w:ascii="宋体" w:hAnsi="宋体"/>
          <w:color w:val="auto"/>
          <w:kern w:val="28"/>
          <w:sz w:val="28"/>
          <w:szCs w:val="28"/>
        </w:rPr>
        <w:t>8矿山供配电设施</w:t>
      </w:r>
    </w:p>
    <w:p>
      <w:pPr>
        <w:widowControl/>
        <w:spacing w:line="500" w:lineRule="exact"/>
        <w:ind w:firstLine="480" w:firstLineChars="200"/>
        <w:rPr>
          <w:rFonts w:ascii="宋体" w:hAnsi="宋体"/>
          <w:color w:val="auto"/>
          <w:sz w:val="24"/>
        </w:rPr>
      </w:pPr>
      <w:r>
        <w:rPr>
          <w:rFonts w:hint="eastAsia" w:ascii="宋体" w:hAnsi="宋体"/>
          <w:color w:val="auto"/>
          <w:kern w:val="24"/>
          <w:sz w:val="24"/>
        </w:rPr>
        <w:t>矿山露天采场生产设备全部为柴油动力设备，无需电力。矿山办公生活区、机修房等辅助设施用电接用当地低压供电线路。</w:t>
      </w:r>
    </w:p>
    <w:p>
      <w:pPr>
        <w:pStyle w:val="5"/>
        <w:keepLines w:val="0"/>
        <w:widowControl/>
        <w:spacing w:before="120" w:after="120" w:line="500" w:lineRule="exact"/>
        <w:rPr>
          <w:rFonts w:ascii="宋体" w:hAnsi="宋体"/>
          <w:color w:val="auto"/>
          <w:kern w:val="28"/>
          <w:sz w:val="28"/>
          <w:szCs w:val="28"/>
        </w:rPr>
      </w:pPr>
      <w:r>
        <w:rPr>
          <w:rFonts w:hint="eastAsia" w:ascii="宋体" w:hAnsi="宋体"/>
          <w:color w:val="auto"/>
          <w:kern w:val="28"/>
          <w:sz w:val="28"/>
          <w:szCs w:val="28"/>
        </w:rPr>
        <w:t>2.4.</w:t>
      </w:r>
      <w:r>
        <w:rPr>
          <w:rFonts w:ascii="宋体" w:hAnsi="宋体"/>
          <w:color w:val="auto"/>
          <w:kern w:val="28"/>
          <w:sz w:val="28"/>
          <w:szCs w:val="28"/>
        </w:rPr>
        <w:t>9防排水系统</w:t>
      </w:r>
    </w:p>
    <w:p>
      <w:pPr>
        <w:widowControl/>
        <w:autoSpaceDE w:val="0"/>
        <w:autoSpaceDN w:val="0"/>
        <w:adjustRightInd w:val="0"/>
        <w:spacing w:line="500" w:lineRule="exact"/>
        <w:ind w:firstLine="480" w:firstLineChars="200"/>
        <w:rPr>
          <w:rFonts w:ascii="宋体" w:hAnsi="宋体"/>
          <w:color w:val="auto"/>
          <w:sz w:val="24"/>
        </w:rPr>
      </w:pPr>
      <w:r>
        <w:rPr>
          <w:rFonts w:hint="eastAsia" w:ascii="宋体" w:hAnsi="宋体"/>
          <w:color w:val="auto"/>
          <w:sz w:val="24"/>
        </w:rPr>
        <w:t>矿区地势西南高东北低，露天采场位于一侧山坡地形，为山坡形露天矿，周围没有高、陡沟谷。区内附近没有大的河流经过，也无水库、鱼塘等。矿体位于当地侵蚀基准面以上。矿区地形坡度大，自然排泄条件良好。</w:t>
      </w:r>
    </w:p>
    <w:p>
      <w:pPr>
        <w:widowControl/>
        <w:autoSpaceDE w:val="0"/>
        <w:autoSpaceDN w:val="0"/>
        <w:adjustRightInd w:val="0"/>
        <w:spacing w:line="500" w:lineRule="exact"/>
        <w:ind w:firstLine="480" w:firstLineChars="200"/>
        <w:rPr>
          <w:rFonts w:ascii="宋体" w:hAnsi="宋体"/>
          <w:color w:val="auto"/>
          <w:sz w:val="24"/>
        </w:rPr>
      </w:pPr>
      <w:r>
        <w:rPr>
          <w:rFonts w:hint="eastAsia" w:ascii="宋体" w:hAnsi="宋体"/>
          <w:color w:val="auto"/>
          <w:sz w:val="24"/>
        </w:rPr>
        <w:t>采场防排水主要为场外截洪和场内台阶截水，采用截水沟分段截水，自流排水方式。</w:t>
      </w:r>
    </w:p>
    <w:p>
      <w:pPr>
        <w:widowControl/>
        <w:autoSpaceDE w:val="0"/>
        <w:autoSpaceDN w:val="0"/>
        <w:adjustRightInd w:val="0"/>
        <w:spacing w:line="500" w:lineRule="exact"/>
        <w:ind w:firstLine="480" w:firstLineChars="200"/>
        <w:rPr>
          <w:rFonts w:ascii="宋体" w:hAnsi="宋体"/>
          <w:color w:val="auto"/>
          <w:sz w:val="24"/>
        </w:rPr>
      </w:pPr>
      <w:r>
        <w:rPr>
          <w:rFonts w:ascii="宋体" w:hAnsi="宋体"/>
          <w:color w:val="auto"/>
          <w:sz w:val="24"/>
        </w:rPr>
        <w:t>1</w:t>
      </w:r>
      <w:r>
        <w:rPr>
          <w:rFonts w:hint="eastAsia" w:ascii="宋体" w:hAnsi="宋体"/>
          <w:color w:val="auto"/>
          <w:sz w:val="24"/>
        </w:rPr>
        <w:t>）采场内外部截水</w:t>
      </w:r>
    </w:p>
    <w:p>
      <w:pPr>
        <w:widowControl/>
        <w:autoSpaceDE w:val="0"/>
        <w:autoSpaceDN w:val="0"/>
        <w:adjustRightInd w:val="0"/>
        <w:spacing w:line="500" w:lineRule="exact"/>
        <w:ind w:firstLine="480" w:firstLineChars="200"/>
        <w:rPr>
          <w:rFonts w:ascii="宋体" w:hAnsi="宋体"/>
          <w:color w:val="auto"/>
          <w:sz w:val="24"/>
        </w:rPr>
      </w:pPr>
      <w:r>
        <w:rPr>
          <w:rFonts w:hint="eastAsia" w:ascii="宋体" w:hAnsi="宋体"/>
          <w:color w:val="auto"/>
          <w:sz w:val="24"/>
        </w:rPr>
        <w:t>在采场两侧开采境界外，距离采场边界5～10m挖掘0.8m×0.8m的截洪沟，截排采场外的雨水，截洪沟截留的汇水向西北分流至境界外北部的山沟地带约225m标高的沉砂池，沉淀后排放。场内分别在各清扫平台距终了台阶坡脚1.0m处开掘截水沟，对其上部汇水截流并导出采场，与采场外截洪沟内的排水一同汇入沉淀池，沉淀后排放。</w:t>
      </w:r>
    </w:p>
    <w:p>
      <w:pPr>
        <w:widowControl/>
        <w:autoSpaceDE w:val="0"/>
        <w:autoSpaceDN w:val="0"/>
        <w:adjustRightInd w:val="0"/>
        <w:spacing w:line="500" w:lineRule="exact"/>
        <w:ind w:firstLine="480" w:firstLineChars="200"/>
        <w:rPr>
          <w:rFonts w:ascii="宋体" w:hAnsi="宋体"/>
          <w:color w:val="auto"/>
          <w:sz w:val="24"/>
        </w:rPr>
      </w:pPr>
      <w:r>
        <w:rPr>
          <w:rFonts w:hint="eastAsia" w:ascii="宋体" w:hAnsi="宋体"/>
          <w:color w:val="auto"/>
          <w:sz w:val="24"/>
        </w:rPr>
        <w:t>采场截水沟由中间分水点向两端降坡，水力坡度不小于0.15%，采用递增矩形断面，中间分水点断面宽度0.5m，深度0.5m，向下游每隔50m，断面宽度增加0.1m，深度增加0.1m。</w:t>
      </w:r>
    </w:p>
    <w:p>
      <w:pPr>
        <w:widowControl/>
        <w:autoSpaceDE w:val="0"/>
        <w:autoSpaceDN w:val="0"/>
        <w:adjustRightInd w:val="0"/>
        <w:spacing w:line="500" w:lineRule="exact"/>
        <w:ind w:firstLine="480" w:firstLineChars="200"/>
        <w:rPr>
          <w:rFonts w:ascii="宋体" w:hAnsi="宋体"/>
          <w:color w:val="auto"/>
          <w:sz w:val="24"/>
        </w:rPr>
      </w:pPr>
      <w:r>
        <w:rPr>
          <w:rFonts w:hint="eastAsia" w:ascii="宋体" w:hAnsi="宋体"/>
          <w:color w:val="auto"/>
          <w:sz w:val="24"/>
        </w:rPr>
        <w:t>采场截水沟一般不需砌筑，遇节理、裂隙或岩溶破坏部位，采用砂浆砌块。工作面局部截水，可在工作平台内侧挖掘简易排水沟，排水沟采用梯形断面，底宽为0.3m，顶部宽度为0.6m，沟深0.3m，排水沟环绕台阶坡地坡脚掘进，将汇水导流至采场外。</w:t>
      </w:r>
    </w:p>
    <w:p>
      <w:pPr>
        <w:widowControl/>
        <w:autoSpaceDE w:val="0"/>
        <w:autoSpaceDN w:val="0"/>
        <w:adjustRightInd w:val="0"/>
        <w:spacing w:line="500" w:lineRule="exact"/>
        <w:ind w:firstLine="480" w:firstLineChars="200"/>
        <w:rPr>
          <w:rFonts w:ascii="宋体" w:hAnsi="宋体"/>
          <w:color w:val="auto"/>
          <w:sz w:val="24"/>
        </w:rPr>
      </w:pPr>
      <w:r>
        <w:rPr>
          <w:rFonts w:ascii="宋体" w:hAnsi="宋体"/>
          <w:color w:val="auto"/>
          <w:sz w:val="24"/>
        </w:rPr>
        <w:t>2</w:t>
      </w:r>
      <w:r>
        <w:rPr>
          <w:rFonts w:hint="eastAsia" w:ascii="宋体" w:hAnsi="宋体"/>
          <w:color w:val="auto"/>
          <w:sz w:val="24"/>
        </w:rPr>
        <w:t>）边坡二级截水与坡面泄水吊沟</w:t>
      </w:r>
    </w:p>
    <w:p>
      <w:pPr>
        <w:widowControl/>
        <w:autoSpaceDE w:val="0"/>
        <w:autoSpaceDN w:val="0"/>
        <w:adjustRightInd w:val="0"/>
        <w:spacing w:line="500" w:lineRule="exact"/>
        <w:ind w:firstLine="480" w:firstLineChars="200"/>
        <w:rPr>
          <w:rFonts w:ascii="宋体" w:hAnsi="宋体"/>
          <w:color w:val="auto"/>
          <w:sz w:val="24"/>
        </w:rPr>
      </w:pPr>
      <w:r>
        <w:rPr>
          <w:rFonts w:hint="eastAsia" w:ascii="宋体" w:hAnsi="宋体"/>
          <w:color w:val="auto"/>
          <w:sz w:val="24"/>
        </w:rPr>
        <w:t>随采场下降形成边坡安全措施平台后，措施平台要设置二级截水沟，将上部边坡径流分洪到采场外部，以减少下部边坡的径流冲蚀。</w:t>
      </w:r>
    </w:p>
    <w:p>
      <w:pPr>
        <w:widowControl/>
        <w:autoSpaceDE w:val="0"/>
        <w:autoSpaceDN w:val="0"/>
        <w:adjustRightInd w:val="0"/>
        <w:spacing w:line="500" w:lineRule="exact"/>
        <w:ind w:firstLine="480" w:firstLineChars="200"/>
        <w:rPr>
          <w:rFonts w:ascii="宋体" w:hAnsi="宋体"/>
          <w:color w:val="auto"/>
          <w:sz w:val="24"/>
        </w:rPr>
      </w:pPr>
      <w:r>
        <w:rPr>
          <w:rFonts w:hint="eastAsia" w:ascii="宋体" w:hAnsi="宋体"/>
          <w:color w:val="auto"/>
          <w:sz w:val="24"/>
        </w:rPr>
        <w:t>当采场平台由于地势原因无法向采场外部分洪时，应在边坡上设置泄水吊沟。泄水吊沟应选择在矿岩结构比较稳固、坡面耐冲刷的位置。泄水吊沟的结构形式根据现场情况而定，可以简单开凿形成凹槽，也可以两侧构筑挡水板。设置泄水吊沟的主要目的是引导边坡径流在适宜位置有序排放，防止对结构不稳定边坡造成冲蚀破坏。</w:t>
      </w:r>
    </w:p>
    <w:p>
      <w:pPr>
        <w:widowControl/>
        <w:autoSpaceDE w:val="0"/>
        <w:autoSpaceDN w:val="0"/>
        <w:adjustRightInd w:val="0"/>
        <w:spacing w:line="500" w:lineRule="exact"/>
        <w:ind w:firstLine="480" w:firstLineChars="200"/>
        <w:rPr>
          <w:rFonts w:ascii="宋体" w:hAnsi="宋体"/>
          <w:color w:val="auto"/>
          <w:sz w:val="24"/>
        </w:rPr>
      </w:pPr>
      <w:r>
        <w:rPr>
          <w:rFonts w:ascii="宋体" w:hAnsi="宋体"/>
          <w:color w:val="auto"/>
          <w:sz w:val="24"/>
        </w:rPr>
        <w:t>3</w:t>
      </w:r>
      <w:r>
        <w:rPr>
          <w:rFonts w:hint="eastAsia" w:ascii="宋体" w:hAnsi="宋体"/>
          <w:color w:val="auto"/>
          <w:sz w:val="24"/>
        </w:rPr>
        <w:t>）采场防排水措施</w:t>
      </w:r>
    </w:p>
    <w:p>
      <w:pPr>
        <w:widowControl/>
        <w:autoSpaceDE w:val="0"/>
        <w:autoSpaceDN w:val="0"/>
        <w:adjustRightInd w:val="0"/>
        <w:spacing w:line="500" w:lineRule="exact"/>
        <w:ind w:firstLine="480" w:firstLineChars="200"/>
        <w:rPr>
          <w:rFonts w:ascii="宋体" w:hAnsi="宋体"/>
          <w:color w:val="auto"/>
          <w:sz w:val="24"/>
        </w:rPr>
      </w:pPr>
      <w:r>
        <w:rPr>
          <w:rFonts w:hint="eastAsia" w:ascii="宋体" w:hAnsi="宋体"/>
          <w:color w:val="auto"/>
          <w:sz w:val="24"/>
        </w:rPr>
        <w:t>（1）终了边坡台阶设置永久性排水沟，将坡面汇流引向境界外截水沟或边坡泄水吊沟；</w:t>
      </w:r>
    </w:p>
    <w:p>
      <w:pPr>
        <w:widowControl/>
        <w:autoSpaceDE w:val="0"/>
        <w:autoSpaceDN w:val="0"/>
        <w:adjustRightInd w:val="0"/>
        <w:spacing w:line="500" w:lineRule="exact"/>
        <w:ind w:firstLine="480" w:firstLineChars="200"/>
        <w:rPr>
          <w:rFonts w:ascii="宋体" w:hAnsi="宋体"/>
          <w:color w:val="auto"/>
          <w:sz w:val="24"/>
        </w:rPr>
      </w:pPr>
      <w:r>
        <w:rPr>
          <w:rFonts w:hint="eastAsia" w:ascii="宋体" w:hAnsi="宋体"/>
          <w:color w:val="auto"/>
          <w:sz w:val="24"/>
        </w:rPr>
        <w:t>（2）生产台阶设置临时导水沟，防止汇水径流冲蚀台阶坡面；</w:t>
      </w:r>
    </w:p>
    <w:p>
      <w:pPr>
        <w:widowControl/>
        <w:autoSpaceDE w:val="0"/>
        <w:autoSpaceDN w:val="0"/>
        <w:adjustRightInd w:val="0"/>
        <w:spacing w:line="500" w:lineRule="exact"/>
        <w:ind w:firstLine="480" w:firstLineChars="200"/>
        <w:rPr>
          <w:rFonts w:ascii="宋体" w:hAnsi="宋体"/>
          <w:color w:val="auto"/>
          <w:sz w:val="24"/>
        </w:rPr>
      </w:pPr>
      <w:r>
        <w:rPr>
          <w:rFonts w:hint="eastAsia" w:ascii="宋体" w:hAnsi="宋体"/>
          <w:color w:val="auto"/>
          <w:sz w:val="24"/>
        </w:rPr>
        <w:t>（3）可能临时存放剥离土、风化废石的生产平台要重点搞好防排水，防止形成泥石流灾害；</w:t>
      </w:r>
    </w:p>
    <w:p>
      <w:pPr>
        <w:widowControl/>
        <w:autoSpaceDE w:val="0"/>
        <w:autoSpaceDN w:val="0"/>
        <w:adjustRightInd w:val="0"/>
        <w:spacing w:line="500" w:lineRule="exact"/>
        <w:ind w:firstLine="480" w:firstLineChars="200"/>
        <w:rPr>
          <w:rFonts w:ascii="宋体" w:hAnsi="宋体"/>
          <w:color w:val="auto"/>
          <w:sz w:val="24"/>
        </w:rPr>
      </w:pPr>
      <w:r>
        <w:rPr>
          <w:rFonts w:hint="eastAsia" w:ascii="宋体" w:hAnsi="宋体"/>
          <w:color w:val="auto"/>
          <w:sz w:val="24"/>
        </w:rPr>
        <w:t>（4）采场边坡上部的排水系统要力求与境界外截水沟贯通，采场下部的排水系统要与矿区总排洪沟贯通。</w:t>
      </w:r>
    </w:p>
    <w:p>
      <w:pPr>
        <w:widowControl/>
        <w:autoSpaceDE w:val="0"/>
        <w:autoSpaceDN w:val="0"/>
        <w:adjustRightInd w:val="0"/>
        <w:spacing w:line="500" w:lineRule="exact"/>
        <w:ind w:firstLine="480" w:firstLineChars="200"/>
        <w:rPr>
          <w:rFonts w:ascii="宋体" w:hAnsi="宋体"/>
          <w:color w:val="auto"/>
          <w:sz w:val="24"/>
        </w:rPr>
      </w:pPr>
      <w:r>
        <w:rPr>
          <w:rFonts w:ascii="宋体" w:hAnsi="宋体"/>
          <w:color w:val="auto"/>
          <w:sz w:val="24"/>
        </w:rPr>
        <w:t>4</w:t>
      </w:r>
      <w:r>
        <w:rPr>
          <w:rFonts w:hint="eastAsia" w:ascii="宋体" w:hAnsi="宋体"/>
          <w:color w:val="auto"/>
          <w:sz w:val="24"/>
        </w:rPr>
        <w:t>）矿区场地防排水</w:t>
      </w:r>
    </w:p>
    <w:p>
      <w:pPr>
        <w:widowControl/>
        <w:autoSpaceDE w:val="0"/>
        <w:autoSpaceDN w:val="0"/>
        <w:adjustRightInd w:val="0"/>
        <w:spacing w:line="500" w:lineRule="exact"/>
        <w:ind w:firstLine="480" w:firstLineChars="200"/>
        <w:rPr>
          <w:rFonts w:ascii="宋体" w:hAnsi="宋体"/>
          <w:color w:val="auto"/>
          <w:sz w:val="24"/>
        </w:rPr>
      </w:pPr>
      <w:r>
        <w:rPr>
          <w:rFonts w:hint="eastAsia" w:ascii="宋体" w:hAnsi="宋体"/>
          <w:color w:val="auto"/>
          <w:sz w:val="24"/>
        </w:rPr>
        <w:t>（1）工业场地、服务区、料场要设置永久性排洪沟，并与矿区总排洪沟贯通。</w:t>
      </w:r>
    </w:p>
    <w:p>
      <w:pPr>
        <w:widowControl/>
        <w:autoSpaceDE w:val="0"/>
        <w:autoSpaceDN w:val="0"/>
        <w:adjustRightInd w:val="0"/>
        <w:spacing w:line="500" w:lineRule="exact"/>
        <w:ind w:firstLine="480" w:firstLineChars="200"/>
        <w:rPr>
          <w:rFonts w:ascii="宋体" w:hAnsi="宋体"/>
          <w:color w:val="auto"/>
          <w:sz w:val="24"/>
        </w:rPr>
      </w:pPr>
      <w:r>
        <w:rPr>
          <w:rFonts w:hint="eastAsia" w:ascii="宋体" w:hAnsi="宋体"/>
          <w:color w:val="auto"/>
          <w:sz w:val="24"/>
        </w:rPr>
        <w:t>（2）矿区要修筑总排洪沟和下游沉砂池。除境界外部的截水直接排放外，矿区内的汇水要通过总排洪沟引入沉砂池，澄清后再排放。沉砂池总容积500m</w:t>
      </w:r>
      <w:r>
        <w:rPr>
          <w:rFonts w:hint="eastAsia" w:ascii="宋体" w:hAnsi="宋体"/>
          <w:color w:val="auto"/>
          <w:sz w:val="24"/>
          <w:vertAlign w:val="superscript"/>
        </w:rPr>
        <w:t>3</w:t>
      </w:r>
      <w:r>
        <w:rPr>
          <w:rFonts w:hint="eastAsia" w:ascii="宋体" w:hAnsi="宋体"/>
          <w:color w:val="auto"/>
          <w:sz w:val="24"/>
        </w:rPr>
        <w:t>，分两级沉淀，以利于沉砂清理和排放水的澄清，水质排放标准要求泥砂含量不大于500g/m</w:t>
      </w:r>
      <w:r>
        <w:rPr>
          <w:rFonts w:hint="eastAsia" w:ascii="宋体" w:hAnsi="宋体"/>
          <w:color w:val="auto"/>
          <w:sz w:val="24"/>
          <w:vertAlign w:val="superscript"/>
        </w:rPr>
        <w:t>3</w:t>
      </w:r>
      <w:r>
        <w:rPr>
          <w:rFonts w:hint="eastAsia" w:ascii="宋体" w:hAnsi="宋体"/>
          <w:color w:val="auto"/>
          <w:sz w:val="24"/>
        </w:rPr>
        <w:t>。</w:t>
      </w:r>
    </w:p>
    <w:p>
      <w:pPr>
        <w:widowControl/>
        <w:autoSpaceDE w:val="0"/>
        <w:autoSpaceDN w:val="0"/>
        <w:adjustRightInd w:val="0"/>
        <w:spacing w:line="500" w:lineRule="exact"/>
        <w:ind w:firstLine="480" w:firstLineChars="200"/>
        <w:rPr>
          <w:rFonts w:ascii="宋体" w:hAnsi="宋体"/>
          <w:color w:val="auto"/>
          <w:sz w:val="24"/>
        </w:rPr>
      </w:pPr>
      <w:r>
        <w:rPr>
          <w:rFonts w:hint="eastAsia" w:ascii="宋体" w:hAnsi="宋体"/>
          <w:color w:val="auto"/>
          <w:sz w:val="24"/>
        </w:rPr>
        <w:t>（3）场地各级分支排洪沟和总排洪沟要保证合理的水力坡度和过水断面，雨季要经常检查，修缮。水力坡度一般不小于5～10‰。</w:t>
      </w:r>
    </w:p>
    <w:p>
      <w:pPr>
        <w:widowControl/>
        <w:autoSpaceDE w:val="0"/>
        <w:autoSpaceDN w:val="0"/>
        <w:adjustRightInd w:val="0"/>
        <w:spacing w:line="500" w:lineRule="exact"/>
        <w:ind w:firstLine="480" w:firstLineChars="200"/>
        <w:rPr>
          <w:rFonts w:ascii="宋体" w:hAnsi="宋体"/>
          <w:color w:val="auto"/>
          <w:sz w:val="24"/>
        </w:rPr>
      </w:pPr>
      <w:r>
        <w:rPr>
          <w:rFonts w:hint="eastAsia" w:ascii="宋体" w:hAnsi="宋体"/>
          <w:color w:val="auto"/>
          <w:sz w:val="24"/>
        </w:rPr>
        <w:t>（4）矿区总排洪沟的泄流走向，应对下游村镇、市政的环境安全不构成妨害。</w:t>
      </w:r>
    </w:p>
    <w:p>
      <w:pPr>
        <w:widowControl/>
        <w:autoSpaceDE w:val="0"/>
        <w:autoSpaceDN w:val="0"/>
        <w:adjustRightInd w:val="0"/>
        <w:spacing w:line="500" w:lineRule="exact"/>
        <w:ind w:firstLine="480" w:firstLineChars="200"/>
        <w:rPr>
          <w:rFonts w:ascii="宋体" w:hAnsi="宋体"/>
          <w:color w:val="auto"/>
          <w:sz w:val="24"/>
        </w:rPr>
      </w:pPr>
      <w:r>
        <w:rPr>
          <w:rFonts w:ascii="宋体" w:hAnsi="宋体"/>
          <w:color w:val="auto"/>
          <w:sz w:val="24"/>
        </w:rPr>
        <w:t>5</w:t>
      </w:r>
      <w:r>
        <w:rPr>
          <w:rFonts w:hint="eastAsia" w:ascii="宋体" w:hAnsi="宋体"/>
          <w:color w:val="auto"/>
          <w:sz w:val="24"/>
        </w:rPr>
        <w:t>）排土场防排水</w:t>
      </w:r>
    </w:p>
    <w:p>
      <w:pPr>
        <w:widowControl/>
        <w:autoSpaceDE w:val="0"/>
        <w:autoSpaceDN w:val="0"/>
        <w:adjustRightInd w:val="0"/>
        <w:spacing w:line="500" w:lineRule="exact"/>
        <w:ind w:firstLine="480" w:firstLineChars="200"/>
        <w:rPr>
          <w:rFonts w:ascii="宋体" w:hAnsi="宋体"/>
          <w:color w:val="auto"/>
          <w:sz w:val="24"/>
        </w:rPr>
      </w:pPr>
      <w:r>
        <w:rPr>
          <w:rFonts w:hint="eastAsia" w:ascii="宋体" w:hAnsi="宋体"/>
          <w:color w:val="auto"/>
          <w:sz w:val="24"/>
        </w:rPr>
        <w:t>排土场西侧由上山公路水沟截排外部汇水，东侧挖掘1.0m×0.8m的截洪沟，截排排土场上部山坡的雨水，水力坡度不小于1%，截洪沟截留的汇水分流至北部的沉沙池，再排出山沟地带。</w:t>
      </w:r>
    </w:p>
    <w:p>
      <w:pPr>
        <w:pStyle w:val="5"/>
        <w:keepLines w:val="0"/>
        <w:widowControl/>
        <w:spacing w:before="120" w:after="120" w:line="500" w:lineRule="exact"/>
        <w:rPr>
          <w:rFonts w:ascii="宋体" w:hAnsi="宋体"/>
          <w:color w:val="auto"/>
          <w:kern w:val="28"/>
          <w:sz w:val="28"/>
          <w:szCs w:val="28"/>
        </w:rPr>
      </w:pPr>
      <w:r>
        <w:rPr>
          <w:rFonts w:hint="eastAsia" w:ascii="宋体" w:hAnsi="宋体"/>
          <w:color w:val="auto"/>
          <w:kern w:val="28"/>
          <w:sz w:val="28"/>
          <w:szCs w:val="28"/>
        </w:rPr>
        <w:t>2.4.</w:t>
      </w:r>
      <w:r>
        <w:rPr>
          <w:rFonts w:ascii="宋体" w:hAnsi="宋体"/>
          <w:color w:val="auto"/>
          <w:kern w:val="28"/>
          <w:sz w:val="28"/>
          <w:szCs w:val="28"/>
        </w:rPr>
        <w:t>10</w:t>
      </w:r>
      <w:r>
        <w:rPr>
          <w:rFonts w:hint="eastAsia" w:ascii="宋体" w:hAnsi="宋体"/>
          <w:color w:val="auto"/>
          <w:kern w:val="28"/>
          <w:sz w:val="28"/>
          <w:szCs w:val="28"/>
        </w:rPr>
        <w:t>排土场</w:t>
      </w:r>
    </w:p>
    <w:p>
      <w:pPr>
        <w:widowControl/>
        <w:spacing w:line="500" w:lineRule="exact"/>
        <w:ind w:firstLine="480" w:firstLineChars="200"/>
        <w:rPr>
          <w:rFonts w:ascii="宋体" w:hAnsi="宋体"/>
          <w:color w:val="auto"/>
          <w:kern w:val="24"/>
          <w:sz w:val="24"/>
        </w:rPr>
      </w:pPr>
      <w:r>
        <w:rPr>
          <w:rFonts w:ascii="宋体" w:hAnsi="宋体"/>
          <w:color w:val="auto"/>
          <w:kern w:val="24"/>
          <w:sz w:val="24"/>
        </w:rPr>
        <w:t>1</w:t>
      </w:r>
      <w:r>
        <w:rPr>
          <w:rFonts w:hint="eastAsia" w:ascii="宋体" w:hAnsi="宋体"/>
          <w:color w:val="auto"/>
          <w:kern w:val="24"/>
          <w:sz w:val="24"/>
        </w:rPr>
        <w:t>）排土场选址及周边环境</w:t>
      </w:r>
    </w:p>
    <w:p>
      <w:pPr>
        <w:widowControl/>
        <w:spacing w:line="500" w:lineRule="exact"/>
        <w:ind w:firstLine="480" w:firstLineChars="200"/>
        <w:rPr>
          <w:rFonts w:ascii="宋体" w:hAnsi="宋体"/>
          <w:color w:val="auto"/>
          <w:kern w:val="24"/>
          <w:sz w:val="24"/>
        </w:rPr>
      </w:pPr>
      <w:r>
        <w:rPr>
          <w:rFonts w:hint="eastAsia" w:ascii="宋体" w:hAnsi="宋体"/>
          <w:color w:val="auto"/>
          <w:kern w:val="24"/>
          <w:sz w:val="24"/>
        </w:rPr>
        <w:t>矿山现有排土场位于矿体外东面山窝。现场勘查时，矿山排土场已按原开发利用方案要求进行了建设，但无拦挡坝、截排水沟，排土场未复绿。</w:t>
      </w:r>
    </w:p>
    <w:p>
      <w:pPr>
        <w:widowControl/>
        <w:spacing w:line="500" w:lineRule="exact"/>
        <w:ind w:firstLine="480" w:firstLineChars="200"/>
        <w:rPr>
          <w:rFonts w:ascii="宋体" w:hAnsi="宋体"/>
          <w:color w:val="auto"/>
          <w:kern w:val="24"/>
          <w:sz w:val="24"/>
        </w:rPr>
      </w:pPr>
      <w:r>
        <w:rPr>
          <w:rFonts w:hint="eastAsia" w:ascii="宋体" w:hAnsi="宋体"/>
          <w:color w:val="auto"/>
          <w:kern w:val="24"/>
          <w:sz w:val="24"/>
        </w:rPr>
        <w:t>根据测量资料，排土场上部标高为+298m，下部标高为+256m，为山坡型排土场，一个排土台阶，台阶高度为42m。弃土量约为7.47万m³。排土场边坡现状较稳定。</w:t>
      </w:r>
    </w:p>
    <w:p>
      <w:pPr>
        <w:widowControl/>
        <w:spacing w:line="500" w:lineRule="exact"/>
        <w:ind w:firstLine="480" w:firstLineChars="200"/>
        <w:rPr>
          <w:rFonts w:ascii="宋体" w:hAnsi="宋体"/>
          <w:color w:val="auto"/>
          <w:kern w:val="24"/>
          <w:sz w:val="24"/>
        </w:rPr>
      </w:pPr>
      <w:r>
        <w:rPr>
          <w:rFonts w:ascii="宋体" w:hAnsi="宋体"/>
          <w:color w:val="auto"/>
          <w:kern w:val="24"/>
          <w:sz w:val="24"/>
        </w:rPr>
        <w:t>2</w:t>
      </w:r>
      <w:r>
        <w:rPr>
          <w:rFonts w:hint="eastAsia" w:ascii="宋体" w:hAnsi="宋体"/>
          <w:color w:val="auto"/>
          <w:kern w:val="24"/>
          <w:sz w:val="24"/>
        </w:rPr>
        <w:t>）需要排土场容积</w:t>
      </w:r>
    </w:p>
    <w:p>
      <w:pPr>
        <w:widowControl/>
        <w:spacing w:line="500" w:lineRule="exact"/>
        <w:ind w:firstLine="480" w:firstLineChars="200"/>
        <w:rPr>
          <w:rFonts w:ascii="宋体" w:hAnsi="宋体"/>
          <w:color w:val="auto"/>
          <w:kern w:val="24"/>
          <w:sz w:val="24"/>
        </w:rPr>
      </w:pPr>
      <w:r>
        <w:rPr>
          <w:rFonts w:hint="eastAsia" w:ascii="宋体" w:hAnsi="宋体"/>
          <w:color w:val="auto"/>
          <w:kern w:val="24"/>
          <w:sz w:val="24"/>
        </w:rPr>
        <w:t>矿山前期已完成矿体剥离，剥离量为0。本次设计不再新增弃土量。设计对排土场按规程要求进行完善，在排土场下游建设拦挡坝、沉淀池，在排土场周边设置截排水沟，对坡面进行复绿。</w:t>
      </w:r>
    </w:p>
    <w:p>
      <w:pPr>
        <w:widowControl/>
        <w:spacing w:line="500" w:lineRule="exact"/>
        <w:ind w:firstLine="480" w:firstLineChars="200"/>
        <w:rPr>
          <w:rFonts w:ascii="宋体" w:hAnsi="宋体"/>
          <w:color w:val="auto"/>
          <w:kern w:val="24"/>
          <w:sz w:val="24"/>
        </w:rPr>
      </w:pPr>
      <w:r>
        <w:rPr>
          <w:rFonts w:hint="eastAsia" w:ascii="宋体" w:hAnsi="宋体"/>
          <w:color w:val="auto"/>
          <w:kern w:val="24"/>
          <w:sz w:val="24"/>
        </w:rPr>
        <w:t>3</w:t>
      </w:r>
      <w:bookmarkStart w:id="170" w:name="_Toc292914386"/>
      <w:r>
        <w:rPr>
          <w:rFonts w:hint="eastAsia" w:ascii="宋体" w:hAnsi="宋体"/>
          <w:color w:val="auto"/>
          <w:kern w:val="24"/>
          <w:sz w:val="24"/>
        </w:rPr>
        <w:t>）</w:t>
      </w:r>
      <w:r>
        <w:rPr>
          <w:rFonts w:ascii="宋体" w:hAnsi="宋体"/>
          <w:color w:val="auto"/>
          <w:kern w:val="24"/>
          <w:sz w:val="24"/>
        </w:rPr>
        <w:t>排土场防排水</w:t>
      </w:r>
      <w:bookmarkEnd w:id="170"/>
    </w:p>
    <w:p>
      <w:pPr>
        <w:widowControl/>
        <w:spacing w:line="500" w:lineRule="exact"/>
        <w:ind w:firstLine="480" w:firstLineChars="200"/>
        <w:rPr>
          <w:rFonts w:ascii="宋体" w:hAnsi="宋体"/>
          <w:color w:val="auto"/>
          <w:kern w:val="24"/>
          <w:sz w:val="24"/>
        </w:rPr>
      </w:pPr>
      <w:r>
        <w:rPr>
          <w:rFonts w:ascii="宋体" w:hAnsi="宋体"/>
          <w:color w:val="auto"/>
          <w:kern w:val="24"/>
          <w:sz w:val="24"/>
        </w:rPr>
        <w:t>外部截水：排土场</w:t>
      </w:r>
      <w:r>
        <w:rPr>
          <w:rFonts w:hint="eastAsia" w:ascii="宋体" w:hAnsi="宋体"/>
          <w:color w:val="auto"/>
          <w:kern w:val="24"/>
          <w:sz w:val="24"/>
        </w:rPr>
        <w:t>东侧</w:t>
      </w:r>
      <w:r>
        <w:rPr>
          <w:rFonts w:ascii="宋体" w:hAnsi="宋体"/>
          <w:color w:val="auto"/>
          <w:kern w:val="24"/>
          <w:sz w:val="24"/>
        </w:rPr>
        <w:t>挖掘1.0m×0.8m的截洪沟，截排排土场上部山坡的雨水，水力坡度不小于2%，截洪沟截留的汇水分东、西分流至南部的沉沙池，再排出山沟地表，汇入地表水系。</w:t>
      </w:r>
    </w:p>
    <w:p>
      <w:pPr>
        <w:widowControl/>
        <w:spacing w:line="500" w:lineRule="exact"/>
        <w:ind w:firstLine="480" w:firstLineChars="200"/>
        <w:rPr>
          <w:rFonts w:ascii="宋体" w:hAnsi="宋体"/>
          <w:color w:val="auto"/>
          <w:kern w:val="24"/>
          <w:sz w:val="24"/>
        </w:rPr>
      </w:pPr>
      <w:r>
        <w:rPr>
          <w:rFonts w:ascii="宋体" w:hAnsi="宋体"/>
          <w:color w:val="auto"/>
          <w:kern w:val="24"/>
          <w:sz w:val="24"/>
        </w:rPr>
        <w:t>内部排水：排土场平台设置2％～3％的反坡，并在排土场各平台修筑排水沟拦截坡面汇水并接入主沟。在排土场底部设置排水暗管，把渗入排土场内部的雨水排出场外。</w:t>
      </w:r>
    </w:p>
    <w:p>
      <w:pPr>
        <w:widowControl/>
        <w:spacing w:line="500" w:lineRule="exact"/>
        <w:ind w:firstLine="480" w:firstLineChars="200"/>
        <w:rPr>
          <w:rFonts w:ascii="宋体" w:hAnsi="宋体"/>
          <w:color w:val="auto"/>
          <w:kern w:val="24"/>
          <w:sz w:val="24"/>
        </w:rPr>
      </w:pPr>
      <w:r>
        <w:rPr>
          <w:rFonts w:ascii="宋体" w:hAnsi="宋体"/>
          <w:color w:val="auto"/>
          <w:kern w:val="24"/>
          <w:sz w:val="24"/>
        </w:rPr>
        <w:t>排土场下游设置拦挡坝，拦挡坝为透水土石坝，坝顶标高</w:t>
      </w:r>
      <w:r>
        <w:rPr>
          <w:rFonts w:hint="eastAsia" w:ascii="宋体" w:hAnsi="宋体"/>
          <w:color w:val="auto"/>
          <w:kern w:val="24"/>
          <w:sz w:val="24"/>
        </w:rPr>
        <w:t>253</w:t>
      </w:r>
      <w:r>
        <w:rPr>
          <w:rFonts w:ascii="宋体" w:hAnsi="宋体"/>
          <w:color w:val="auto"/>
          <w:kern w:val="24"/>
          <w:sz w:val="24"/>
        </w:rPr>
        <w:t>m，坝高</w:t>
      </w:r>
      <w:r>
        <w:rPr>
          <w:rFonts w:hint="eastAsia" w:ascii="宋体" w:hAnsi="宋体"/>
          <w:color w:val="auto"/>
          <w:kern w:val="24"/>
          <w:sz w:val="24"/>
        </w:rPr>
        <w:t>6</w:t>
      </w:r>
      <w:r>
        <w:rPr>
          <w:rFonts w:ascii="宋体" w:hAnsi="宋体"/>
          <w:color w:val="auto"/>
          <w:kern w:val="24"/>
          <w:sz w:val="24"/>
        </w:rPr>
        <w:t>～</w:t>
      </w:r>
      <w:r>
        <w:rPr>
          <w:rFonts w:hint="eastAsia" w:ascii="宋体" w:hAnsi="宋体"/>
          <w:color w:val="auto"/>
          <w:kern w:val="24"/>
          <w:sz w:val="24"/>
        </w:rPr>
        <w:t>8</w:t>
      </w:r>
      <w:r>
        <w:rPr>
          <w:rFonts w:ascii="宋体" w:hAnsi="宋体"/>
          <w:color w:val="auto"/>
          <w:kern w:val="24"/>
          <w:sz w:val="24"/>
        </w:rPr>
        <w:t>m。坝轴线长约</w:t>
      </w:r>
      <w:r>
        <w:rPr>
          <w:rFonts w:hint="eastAsia" w:ascii="宋体" w:hAnsi="宋体"/>
          <w:color w:val="auto"/>
          <w:kern w:val="24"/>
          <w:sz w:val="24"/>
        </w:rPr>
        <w:t>2</w:t>
      </w:r>
      <w:r>
        <w:rPr>
          <w:rFonts w:ascii="宋体" w:hAnsi="宋体"/>
          <w:color w:val="auto"/>
          <w:kern w:val="24"/>
          <w:sz w:val="24"/>
        </w:rPr>
        <w:t>0m，基底挖掘至中风化层硬底基岩深约1m，坝体两端各穿入山体深度约1m。基底至地面以上2m内采用大块岩石堆积，便于泄水。坝体2m以上为泥土岩石混合压实而成，泥土与岩石比例为7：3以增加坝体稳定。其截面形状为梯形，参数如下：</w:t>
      </w:r>
    </w:p>
    <w:p>
      <w:pPr>
        <w:widowControl/>
        <w:spacing w:line="500" w:lineRule="exact"/>
        <w:ind w:firstLine="480" w:firstLineChars="200"/>
        <w:rPr>
          <w:rFonts w:ascii="宋体" w:hAnsi="宋体"/>
          <w:color w:val="auto"/>
          <w:kern w:val="24"/>
          <w:sz w:val="24"/>
        </w:rPr>
      </w:pPr>
      <w:r>
        <w:rPr>
          <w:rFonts w:ascii="宋体" w:hAnsi="宋体"/>
          <w:color w:val="auto"/>
          <w:kern w:val="24"/>
          <w:sz w:val="24"/>
        </w:rPr>
        <w:t>（1）坝基深度1m；</w:t>
      </w:r>
    </w:p>
    <w:p>
      <w:pPr>
        <w:widowControl/>
        <w:spacing w:line="500" w:lineRule="exact"/>
        <w:ind w:firstLine="480" w:firstLineChars="200"/>
        <w:rPr>
          <w:rFonts w:ascii="宋体" w:hAnsi="宋体"/>
          <w:color w:val="auto"/>
          <w:kern w:val="24"/>
          <w:sz w:val="24"/>
        </w:rPr>
      </w:pPr>
      <w:r>
        <w:rPr>
          <w:rFonts w:ascii="宋体" w:hAnsi="宋体"/>
          <w:color w:val="auto"/>
          <w:kern w:val="24"/>
          <w:sz w:val="24"/>
        </w:rPr>
        <w:t>（2）中心部位地面坝高约</w:t>
      </w:r>
      <w:r>
        <w:rPr>
          <w:rFonts w:hint="eastAsia" w:ascii="宋体" w:hAnsi="宋体"/>
          <w:color w:val="auto"/>
          <w:kern w:val="24"/>
          <w:sz w:val="24"/>
        </w:rPr>
        <w:t>8</w:t>
      </w:r>
      <w:r>
        <w:rPr>
          <w:rFonts w:ascii="宋体" w:hAnsi="宋体"/>
          <w:color w:val="auto"/>
          <w:kern w:val="24"/>
          <w:sz w:val="24"/>
        </w:rPr>
        <w:t>m；</w:t>
      </w:r>
    </w:p>
    <w:p>
      <w:pPr>
        <w:widowControl/>
        <w:spacing w:line="500" w:lineRule="exact"/>
        <w:ind w:firstLine="480" w:firstLineChars="200"/>
        <w:rPr>
          <w:rFonts w:ascii="宋体" w:hAnsi="宋体"/>
          <w:color w:val="auto"/>
          <w:kern w:val="24"/>
          <w:sz w:val="24"/>
        </w:rPr>
      </w:pPr>
      <w:r>
        <w:rPr>
          <w:rFonts w:ascii="宋体" w:hAnsi="宋体"/>
          <w:color w:val="auto"/>
          <w:kern w:val="24"/>
          <w:sz w:val="24"/>
        </w:rPr>
        <w:t>（3）坝顶宽3m；</w:t>
      </w:r>
    </w:p>
    <w:p>
      <w:pPr>
        <w:widowControl/>
        <w:spacing w:line="500" w:lineRule="exact"/>
        <w:ind w:firstLine="480" w:firstLineChars="200"/>
        <w:rPr>
          <w:rFonts w:ascii="宋体" w:hAnsi="宋体"/>
          <w:color w:val="auto"/>
          <w:kern w:val="24"/>
          <w:sz w:val="24"/>
        </w:rPr>
      </w:pPr>
      <w:r>
        <w:rPr>
          <w:rFonts w:ascii="宋体" w:hAnsi="宋体"/>
          <w:color w:val="auto"/>
          <w:kern w:val="24"/>
          <w:sz w:val="24"/>
        </w:rPr>
        <w:t>（4）外坡</w:t>
      </w:r>
      <w:r>
        <w:rPr>
          <w:rFonts w:hint="eastAsia" w:ascii="宋体" w:hAnsi="宋体"/>
          <w:color w:val="auto"/>
          <w:kern w:val="24"/>
          <w:sz w:val="24"/>
        </w:rPr>
        <w:t>比1:1.5</w:t>
      </w:r>
      <w:r>
        <w:rPr>
          <w:rFonts w:ascii="宋体" w:hAnsi="宋体"/>
          <w:color w:val="auto"/>
          <w:kern w:val="24"/>
          <w:sz w:val="24"/>
        </w:rPr>
        <w:t>；</w:t>
      </w:r>
    </w:p>
    <w:p>
      <w:pPr>
        <w:widowControl/>
        <w:spacing w:line="500" w:lineRule="exact"/>
        <w:ind w:firstLine="480" w:firstLineChars="200"/>
        <w:rPr>
          <w:rFonts w:ascii="宋体" w:hAnsi="宋体"/>
          <w:color w:val="auto"/>
          <w:kern w:val="24"/>
          <w:sz w:val="24"/>
        </w:rPr>
      </w:pPr>
      <w:r>
        <w:rPr>
          <w:rFonts w:ascii="宋体" w:hAnsi="宋体"/>
          <w:color w:val="auto"/>
          <w:kern w:val="24"/>
          <w:sz w:val="24"/>
        </w:rPr>
        <w:t>（5）内坡</w:t>
      </w:r>
      <w:r>
        <w:rPr>
          <w:rFonts w:hint="eastAsia" w:ascii="宋体" w:hAnsi="宋体"/>
          <w:color w:val="auto"/>
          <w:kern w:val="24"/>
          <w:sz w:val="24"/>
        </w:rPr>
        <w:t>比1:1.</w:t>
      </w:r>
    </w:p>
    <w:p>
      <w:pPr>
        <w:widowControl/>
        <w:spacing w:line="500" w:lineRule="exact"/>
        <w:ind w:firstLine="480" w:firstLineChars="200"/>
        <w:rPr>
          <w:rFonts w:ascii="宋体" w:hAnsi="宋体"/>
          <w:color w:val="auto"/>
          <w:kern w:val="24"/>
          <w:sz w:val="24"/>
        </w:rPr>
      </w:pPr>
      <w:r>
        <w:rPr>
          <w:rFonts w:ascii="宋体" w:hAnsi="宋体"/>
          <w:color w:val="auto"/>
          <w:kern w:val="24"/>
          <w:sz w:val="24"/>
        </w:rPr>
        <w:t>排土场拦挡坝坡底</w:t>
      </w:r>
      <w:r>
        <w:rPr>
          <w:rFonts w:hint="eastAsia" w:ascii="宋体" w:hAnsi="宋体"/>
          <w:color w:val="auto"/>
          <w:kern w:val="24"/>
          <w:sz w:val="24"/>
        </w:rPr>
        <w:t>不</w:t>
      </w:r>
      <w:r>
        <w:rPr>
          <w:rFonts w:ascii="宋体" w:hAnsi="宋体"/>
          <w:color w:val="auto"/>
          <w:kern w:val="24"/>
          <w:sz w:val="24"/>
        </w:rPr>
        <w:t>设置沉砂池，汇水</w:t>
      </w:r>
      <w:r>
        <w:rPr>
          <w:rFonts w:hint="eastAsia" w:ascii="宋体" w:hAnsi="宋体"/>
          <w:color w:val="auto"/>
          <w:kern w:val="24"/>
          <w:sz w:val="24"/>
        </w:rPr>
        <w:t>进入矿区北部沉砂池</w:t>
      </w:r>
      <w:r>
        <w:rPr>
          <w:rFonts w:ascii="宋体" w:hAnsi="宋体"/>
          <w:color w:val="auto"/>
          <w:kern w:val="24"/>
          <w:sz w:val="24"/>
        </w:rPr>
        <w:t>沉淀后</w:t>
      </w:r>
      <w:r>
        <w:rPr>
          <w:rFonts w:hint="eastAsia" w:ascii="宋体" w:hAnsi="宋体"/>
          <w:color w:val="auto"/>
          <w:kern w:val="24"/>
          <w:sz w:val="24"/>
        </w:rPr>
        <w:t>排放</w:t>
      </w:r>
      <w:r>
        <w:rPr>
          <w:rFonts w:ascii="宋体" w:hAnsi="宋体"/>
          <w:color w:val="auto"/>
          <w:kern w:val="24"/>
          <w:sz w:val="24"/>
        </w:rPr>
        <w:t>。</w:t>
      </w:r>
    </w:p>
    <w:p>
      <w:pPr>
        <w:pStyle w:val="5"/>
        <w:keepLines w:val="0"/>
        <w:widowControl/>
        <w:spacing w:before="120" w:after="120" w:line="500" w:lineRule="exact"/>
        <w:rPr>
          <w:rFonts w:ascii="宋体" w:hAnsi="宋体"/>
          <w:color w:val="auto"/>
          <w:kern w:val="28"/>
          <w:sz w:val="28"/>
          <w:szCs w:val="28"/>
        </w:rPr>
      </w:pPr>
      <w:r>
        <w:rPr>
          <w:rFonts w:hint="eastAsia" w:ascii="宋体" w:hAnsi="宋体"/>
          <w:color w:val="auto"/>
          <w:kern w:val="28"/>
          <w:sz w:val="28"/>
          <w:szCs w:val="28"/>
        </w:rPr>
        <w:t>2.4.1</w:t>
      </w:r>
      <w:r>
        <w:rPr>
          <w:rFonts w:ascii="宋体" w:hAnsi="宋体"/>
          <w:color w:val="auto"/>
          <w:kern w:val="28"/>
          <w:sz w:val="28"/>
          <w:szCs w:val="28"/>
        </w:rPr>
        <w:t>1</w:t>
      </w:r>
      <w:r>
        <w:rPr>
          <w:rFonts w:hint="eastAsia" w:ascii="宋体" w:hAnsi="宋体"/>
          <w:color w:val="auto"/>
          <w:kern w:val="28"/>
          <w:sz w:val="28"/>
          <w:szCs w:val="28"/>
        </w:rPr>
        <w:t>安全管理及其他</w:t>
      </w:r>
    </w:p>
    <w:p>
      <w:pPr>
        <w:widowControl/>
        <w:spacing w:line="500" w:lineRule="exact"/>
        <w:ind w:firstLine="482" w:firstLineChars="200"/>
        <w:rPr>
          <w:rFonts w:ascii="宋体" w:hAnsi="宋体"/>
          <w:b/>
          <w:bCs/>
          <w:color w:val="auto"/>
          <w:sz w:val="24"/>
        </w:rPr>
      </w:pPr>
      <w:r>
        <w:rPr>
          <w:rFonts w:hint="eastAsia" w:ascii="宋体" w:hAnsi="宋体"/>
          <w:b/>
          <w:bCs/>
          <w:color w:val="auto"/>
          <w:sz w:val="24"/>
        </w:rPr>
        <w:t>1）组织机构</w:t>
      </w:r>
    </w:p>
    <w:p>
      <w:pPr>
        <w:widowControl/>
        <w:spacing w:line="500" w:lineRule="exact"/>
        <w:ind w:firstLine="480" w:firstLineChars="200"/>
        <w:rPr>
          <w:rFonts w:ascii="宋体" w:hAnsi="宋体"/>
          <w:color w:val="auto"/>
          <w:sz w:val="24"/>
        </w:rPr>
      </w:pPr>
      <w:r>
        <w:rPr>
          <w:rFonts w:hint="eastAsia" w:ascii="宋体" w:hAnsi="宋体"/>
          <w:color w:val="auto"/>
          <w:sz w:val="24"/>
        </w:rPr>
        <w:t>矿山设矿部综合办公室，负责生产安全、供销、财务等部门。下设采场，负责矿山采矿生产。</w:t>
      </w:r>
    </w:p>
    <w:p>
      <w:pPr>
        <w:widowControl/>
        <w:spacing w:line="500" w:lineRule="exact"/>
        <w:ind w:firstLine="482" w:firstLineChars="200"/>
        <w:rPr>
          <w:rFonts w:ascii="宋体" w:hAnsi="宋体"/>
          <w:b/>
          <w:bCs/>
          <w:color w:val="auto"/>
          <w:sz w:val="24"/>
        </w:rPr>
      </w:pPr>
      <w:r>
        <w:rPr>
          <w:rFonts w:ascii="宋体" w:hAnsi="宋体"/>
          <w:b/>
          <w:bCs/>
          <w:color w:val="auto"/>
          <w:sz w:val="24"/>
        </w:rPr>
        <w:t>2</w:t>
      </w:r>
      <w:r>
        <w:rPr>
          <w:rFonts w:hint="eastAsia" w:ascii="宋体" w:hAnsi="宋体"/>
          <w:b/>
          <w:bCs/>
          <w:color w:val="auto"/>
          <w:sz w:val="24"/>
        </w:rPr>
        <w:t>）劳动定员</w:t>
      </w:r>
    </w:p>
    <w:p>
      <w:pPr>
        <w:widowControl/>
        <w:spacing w:line="500" w:lineRule="exact"/>
        <w:ind w:firstLine="480" w:firstLineChars="200"/>
        <w:rPr>
          <w:rFonts w:ascii="宋体" w:hAnsi="宋体"/>
          <w:color w:val="auto"/>
          <w:sz w:val="24"/>
        </w:rPr>
      </w:pPr>
      <w:r>
        <w:rPr>
          <w:rFonts w:hint="eastAsia" w:ascii="宋体" w:hAnsi="宋体"/>
          <w:color w:val="auto"/>
          <w:sz w:val="24"/>
        </w:rPr>
        <w:t>整个矿山定员</w:t>
      </w:r>
      <w:r>
        <w:rPr>
          <w:rFonts w:ascii="宋体" w:hAnsi="宋体"/>
          <w:color w:val="auto"/>
          <w:sz w:val="24"/>
        </w:rPr>
        <w:t>17</w:t>
      </w:r>
      <w:r>
        <w:rPr>
          <w:rFonts w:hint="eastAsia" w:ascii="宋体" w:hAnsi="宋体"/>
          <w:color w:val="auto"/>
          <w:sz w:val="24"/>
        </w:rPr>
        <w:t>人，其中：安全管理人员</w:t>
      </w:r>
      <w:r>
        <w:rPr>
          <w:rFonts w:ascii="宋体" w:hAnsi="宋体"/>
          <w:color w:val="auto"/>
          <w:sz w:val="24"/>
        </w:rPr>
        <w:t>3</w:t>
      </w:r>
      <w:r>
        <w:rPr>
          <w:rFonts w:hint="eastAsia" w:ascii="宋体" w:hAnsi="宋体"/>
          <w:color w:val="auto"/>
          <w:sz w:val="24"/>
        </w:rPr>
        <w:t>人。</w:t>
      </w:r>
    </w:p>
    <w:p>
      <w:pPr>
        <w:widowControl/>
        <w:spacing w:line="500" w:lineRule="exact"/>
        <w:ind w:firstLine="482" w:firstLineChars="200"/>
        <w:rPr>
          <w:rFonts w:ascii="宋体" w:hAnsi="宋体"/>
          <w:b/>
          <w:bCs/>
          <w:color w:val="auto"/>
          <w:sz w:val="24"/>
        </w:rPr>
      </w:pPr>
      <w:r>
        <w:rPr>
          <w:rFonts w:ascii="宋体" w:hAnsi="宋体"/>
          <w:b/>
          <w:bCs/>
          <w:color w:val="auto"/>
          <w:sz w:val="24"/>
        </w:rPr>
        <w:t>3</w:t>
      </w:r>
      <w:r>
        <w:rPr>
          <w:rFonts w:hint="eastAsia" w:ascii="宋体" w:hAnsi="宋体"/>
          <w:b/>
          <w:bCs/>
          <w:color w:val="auto"/>
          <w:sz w:val="24"/>
        </w:rPr>
        <w:t>）投资估算</w:t>
      </w:r>
    </w:p>
    <w:p>
      <w:pPr>
        <w:widowControl/>
        <w:spacing w:line="500" w:lineRule="exact"/>
        <w:ind w:firstLine="480" w:firstLineChars="200"/>
        <w:rPr>
          <w:rFonts w:ascii="宋体" w:hAnsi="宋体"/>
          <w:color w:val="auto"/>
          <w:sz w:val="24"/>
        </w:rPr>
      </w:pPr>
      <w:r>
        <w:rPr>
          <w:rFonts w:hint="eastAsia" w:ascii="宋体" w:hAnsi="宋体"/>
          <w:color w:val="auto"/>
          <w:sz w:val="24"/>
        </w:rPr>
        <w:t>根据可行性研究报告，矿山总投资约</w:t>
      </w:r>
      <w:r>
        <w:rPr>
          <w:rFonts w:ascii="宋体" w:hAnsi="宋体"/>
          <w:color w:val="auto"/>
          <w:sz w:val="24"/>
        </w:rPr>
        <w:t>409.34</w:t>
      </w:r>
      <w:r>
        <w:rPr>
          <w:rFonts w:hint="eastAsia" w:ascii="宋体" w:hAnsi="宋体"/>
          <w:color w:val="auto"/>
          <w:sz w:val="24"/>
        </w:rPr>
        <w:t>万元人民币，矿山基建投资和流动资金全部由采矿权人自筹。</w:t>
      </w:r>
    </w:p>
    <w:p>
      <w:pPr>
        <w:widowControl/>
        <w:spacing w:line="500" w:lineRule="exact"/>
        <w:ind w:firstLine="482" w:firstLineChars="200"/>
        <w:rPr>
          <w:rFonts w:ascii="宋体" w:hAnsi="宋体"/>
          <w:b/>
          <w:bCs/>
          <w:color w:val="auto"/>
          <w:sz w:val="24"/>
        </w:rPr>
      </w:pPr>
      <w:r>
        <w:rPr>
          <w:rFonts w:ascii="宋体" w:hAnsi="宋体"/>
          <w:b/>
          <w:bCs/>
          <w:color w:val="auto"/>
          <w:sz w:val="24"/>
        </w:rPr>
        <w:t>4</w:t>
      </w:r>
      <w:r>
        <w:rPr>
          <w:rFonts w:hint="eastAsia" w:ascii="宋体" w:hAnsi="宋体"/>
          <w:b/>
          <w:bCs/>
          <w:color w:val="auto"/>
          <w:sz w:val="24"/>
        </w:rPr>
        <w:t>）设备选型</w:t>
      </w:r>
    </w:p>
    <w:p>
      <w:pPr>
        <w:widowControl/>
        <w:spacing w:line="500" w:lineRule="exact"/>
        <w:ind w:firstLine="480" w:firstLineChars="200"/>
        <w:rPr>
          <w:rFonts w:ascii="宋体" w:hAnsi="宋体"/>
          <w:color w:val="auto"/>
          <w:kern w:val="24"/>
          <w:sz w:val="24"/>
        </w:rPr>
      </w:pPr>
      <w:r>
        <w:rPr>
          <w:rFonts w:hint="eastAsia" w:ascii="宋体" w:hAnsi="宋体"/>
          <w:color w:val="auto"/>
          <w:kern w:val="24"/>
          <w:sz w:val="24"/>
        </w:rPr>
        <w:t>矿山开采的主要设备见下表</w:t>
      </w:r>
      <w:r>
        <w:rPr>
          <w:rFonts w:ascii="宋体" w:hAnsi="宋体"/>
          <w:color w:val="auto"/>
          <w:kern w:val="24"/>
          <w:sz w:val="24"/>
        </w:rPr>
        <w:t>2.4-4</w:t>
      </w:r>
      <w:r>
        <w:rPr>
          <w:rFonts w:hint="eastAsia" w:ascii="宋体" w:hAnsi="宋体"/>
          <w:color w:val="auto"/>
          <w:kern w:val="24"/>
          <w:sz w:val="24"/>
        </w:rPr>
        <w:t>。</w:t>
      </w:r>
    </w:p>
    <w:p>
      <w:pPr>
        <w:keepNext/>
        <w:widowControl/>
        <w:spacing w:line="500" w:lineRule="exact"/>
        <w:jc w:val="center"/>
        <w:outlineLvl w:val="4"/>
        <w:rPr>
          <w:rFonts w:ascii="宋体" w:hAnsi="宋体"/>
          <w:b/>
          <w:color w:val="auto"/>
          <w:sz w:val="24"/>
        </w:rPr>
      </w:pPr>
      <w:r>
        <w:rPr>
          <w:rFonts w:hint="eastAsia" w:ascii="宋体" w:hAnsi="宋体"/>
          <w:b/>
          <w:color w:val="auto"/>
          <w:sz w:val="24"/>
        </w:rPr>
        <w:t>表2</w:t>
      </w:r>
      <w:r>
        <w:rPr>
          <w:rFonts w:ascii="宋体" w:hAnsi="宋体"/>
          <w:b/>
          <w:color w:val="auto"/>
          <w:sz w:val="24"/>
        </w:rPr>
        <w:t xml:space="preserve">.4-4 </w:t>
      </w:r>
      <w:r>
        <w:rPr>
          <w:rFonts w:hint="eastAsia" w:ascii="宋体" w:hAnsi="宋体"/>
          <w:b/>
          <w:color w:val="auto"/>
          <w:sz w:val="24"/>
        </w:rPr>
        <w:t>设备选型</w:t>
      </w:r>
    </w:p>
    <w:tbl>
      <w:tblPr>
        <w:tblStyle w:val="41"/>
        <w:tblW w:w="8477"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autofit"/>
        <w:tblCellMar>
          <w:top w:w="0" w:type="dxa"/>
          <w:left w:w="108" w:type="dxa"/>
          <w:bottom w:w="0" w:type="dxa"/>
          <w:right w:w="108" w:type="dxa"/>
        </w:tblCellMar>
      </w:tblPr>
      <w:tblGrid>
        <w:gridCol w:w="788"/>
        <w:gridCol w:w="1631"/>
        <w:gridCol w:w="1780"/>
        <w:gridCol w:w="890"/>
        <w:gridCol w:w="1928"/>
        <w:gridCol w:w="1460"/>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50" w:hRule="atLeast"/>
          <w:tblHeader/>
          <w:jc w:val="center"/>
        </w:trPr>
        <w:tc>
          <w:tcPr>
            <w:tcW w:w="788" w:type="dxa"/>
            <w:vAlign w:val="center"/>
          </w:tcPr>
          <w:p>
            <w:pPr>
              <w:widowControl/>
              <w:jc w:val="center"/>
              <w:rPr>
                <w:rFonts w:ascii="宋体" w:hAnsi="宋体"/>
                <w:b/>
                <w:bCs/>
                <w:color w:val="auto"/>
                <w:kern w:val="21"/>
                <w:szCs w:val="21"/>
              </w:rPr>
            </w:pPr>
            <w:r>
              <w:rPr>
                <w:rFonts w:ascii="宋体" w:hAnsi="宋体"/>
                <w:b/>
                <w:bCs/>
                <w:color w:val="auto"/>
                <w:kern w:val="21"/>
                <w:szCs w:val="21"/>
              </w:rPr>
              <w:t>序号</w:t>
            </w:r>
          </w:p>
        </w:tc>
        <w:tc>
          <w:tcPr>
            <w:tcW w:w="1631" w:type="dxa"/>
            <w:vAlign w:val="center"/>
          </w:tcPr>
          <w:p>
            <w:pPr>
              <w:widowControl/>
              <w:jc w:val="center"/>
              <w:rPr>
                <w:rFonts w:ascii="宋体" w:hAnsi="宋体"/>
                <w:b/>
                <w:bCs/>
                <w:color w:val="auto"/>
                <w:kern w:val="21"/>
                <w:szCs w:val="21"/>
              </w:rPr>
            </w:pPr>
            <w:r>
              <w:rPr>
                <w:rFonts w:ascii="宋体" w:hAnsi="宋体"/>
                <w:b/>
                <w:bCs/>
                <w:color w:val="auto"/>
                <w:kern w:val="21"/>
                <w:szCs w:val="21"/>
              </w:rPr>
              <w:t>设备名称</w:t>
            </w:r>
          </w:p>
        </w:tc>
        <w:tc>
          <w:tcPr>
            <w:tcW w:w="1780" w:type="dxa"/>
            <w:vAlign w:val="center"/>
          </w:tcPr>
          <w:p>
            <w:pPr>
              <w:widowControl/>
              <w:jc w:val="center"/>
              <w:rPr>
                <w:rFonts w:ascii="宋体" w:hAnsi="宋体"/>
                <w:b/>
                <w:bCs/>
                <w:color w:val="auto"/>
                <w:kern w:val="21"/>
                <w:szCs w:val="21"/>
              </w:rPr>
            </w:pPr>
            <w:r>
              <w:rPr>
                <w:rFonts w:ascii="宋体" w:hAnsi="宋体"/>
                <w:b/>
                <w:bCs/>
                <w:color w:val="auto"/>
                <w:kern w:val="21"/>
                <w:szCs w:val="21"/>
              </w:rPr>
              <w:t>规格型号</w:t>
            </w:r>
          </w:p>
        </w:tc>
        <w:tc>
          <w:tcPr>
            <w:tcW w:w="890" w:type="dxa"/>
            <w:vAlign w:val="center"/>
          </w:tcPr>
          <w:p>
            <w:pPr>
              <w:widowControl/>
              <w:jc w:val="center"/>
              <w:rPr>
                <w:rFonts w:ascii="宋体" w:hAnsi="宋体"/>
                <w:b/>
                <w:bCs/>
                <w:color w:val="auto"/>
                <w:kern w:val="21"/>
                <w:szCs w:val="21"/>
              </w:rPr>
            </w:pPr>
            <w:r>
              <w:rPr>
                <w:rFonts w:ascii="宋体" w:hAnsi="宋体"/>
                <w:b/>
                <w:bCs/>
                <w:color w:val="auto"/>
                <w:kern w:val="21"/>
                <w:szCs w:val="21"/>
              </w:rPr>
              <w:t>台数</w:t>
            </w:r>
          </w:p>
        </w:tc>
        <w:tc>
          <w:tcPr>
            <w:tcW w:w="1928" w:type="dxa"/>
            <w:vAlign w:val="center"/>
          </w:tcPr>
          <w:p>
            <w:pPr>
              <w:widowControl/>
              <w:jc w:val="center"/>
              <w:rPr>
                <w:rFonts w:ascii="宋体" w:hAnsi="宋体"/>
                <w:b/>
                <w:bCs/>
                <w:color w:val="auto"/>
                <w:kern w:val="21"/>
                <w:szCs w:val="21"/>
              </w:rPr>
            </w:pPr>
            <w:r>
              <w:rPr>
                <w:rFonts w:ascii="宋体" w:hAnsi="宋体"/>
                <w:b/>
                <w:bCs/>
                <w:color w:val="auto"/>
                <w:kern w:val="21"/>
                <w:szCs w:val="21"/>
              </w:rPr>
              <w:t>功率或容量</w:t>
            </w:r>
          </w:p>
        </w:tc>
        <w:tc>
          <w:tcPr>
            <w:tcW w:w="1460" w:type="dxa"/>
            <w:vAlign w:val="center"/>
          </w:tcPr>
          <w:p>
            <w:pPr>
              <w:widowControl/>
              <w:jc w:val="center"/>
              <w:rPr>
                <w:rFonts w:ascii="宋体" w:hAnsi="宋体"/>
                <w:b/>
                <w:bCs/>
                <w:color w:val="auto"/>
                <w:kern w:val="21"/>
                <w:szCs w:val="21"/>
              </w:rPr>
            </w:pPr>
            <w:r>
              <w:rPr>
                <w:rFonts w:ascii="宋体" w:hAnsi="宋体"/>
                <w:b/>
                <w:bCs/>
                <w:color w:val="auto"/>
                <w:kern w:val="21"/>
                <w:szCs w:val="21"/>
              </w:rPr>
              <w:t>备  注</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49" w:hRule="atLeast"/>
          <w:jc w:val="center"/>
        </w:trPr>
        <w:tc>
          <w:tcPr>
            <w:tcW w:w="788" w:type="dxa"/>
            <w:vAlign w:val="center"/>
          </w:tcPr>
          <w:p>
            <w:pPr>
              <w:widowControl/>
              <w:jc w:val="center"/>
              <w:rPr>
                <w:rFonts w:ascii="宋体" w:hAnsi="宋体"/>
                <w:color w:val="auto"/>
                <w:kern w:val="21"/>
                <w:szCs w:val="21"/>
              </w:rPr>
            </w:pPr>
            <w:r>
              <w:rPr>
                <w:rFonts w:ascii="宋体" w:hAnsi="宋体"/>
                <w:color w:val="auto"/>
                <w:kern w:val="21"/>
                <w:szCs w:val="21"/>
              </w:rPr>
              <w:t>1</w:t>
            </w:r>
          </w:p>
        </w:tc>
        <w:tc>
          <w:tcPr>
            <w:tcW w:w="1631" w:type="dxa"/>
            <w:vAlign w:val="center"/>
          </w:tcPr>
          <w:p>
            <w:pPr>
              <w:widowControl/>
              <w:jc w:val="center"/>
              <w:rPr>
                <w:rFonts w:ascii="宋体" w:hAnsi="宋体"/>
                <w:color w:val="auto"/>
                <w:kern w:val="21"/>
                <w:szCs w:val="21"/>
              </w:rPr>
            </w:pPr>
            <w:r>
              <w:rPr>
                <w:rFonts w:ascii="宋体" w:hAnsi="宋体"/>
                <w:color w:val="auto"/>
                <w:kern w:val="21"/>
                <w:szCs w:val="21"/>
              </w:rPr>
              <w:t>挖掘机</w:t>
            </w:r>
          </w:p>
        </w:tc>
        <w:tc>
          <w:tcPr>
            <w:tcW w:w="1780" w:type="dxa"/>
            <w:vAlign w:val="center"/>
          </w:tcPr>
          <w:p>
            <w:pPr>
              <w:widowControl/>
              <w:jc w:val="center"/>
              <w:rPr>
                <w:rFonts w:ascii="宋体" w:hAnsi="宋体"/>
                <w:color w:val="auto"/>
                <w:kern w:val="21"/>
                <w:szCs w:val="21"/>
              </w:rPr>
            </w:pPr>
            <w:r>
              <w:rPr>
                <w:rFonts w:ascii="宋体" w:hAnsi="宋体"/>
                <w:color w:val="auto"/>
                <w:kern w:val="21"/>
                <w:szCs w:val="21"/>
              </w:rPr>
              <w:t>PC-300</w:t>
            </w:r>
          </w:p>
        </w:tc>
        <w:tc>
          <w:tcPr>
            <w:tcW w:w="890" w:type="dxa"/>
            <w:vAlign w:val="center"/>
          </w:tcPr>
          <w:p>
            <w:pPr>
              <w:widowControl/>
              <w:jc w:val="center"/>
              <w:rPr>
                <w:rFonts w:ascii="宋体" w:hAnsi="宋体"/>
                <w:color w:val="auto"/>
                <w:kern w:val="21"/>
                <w:szCs w:val="21"/>
              </w:rPr>
            </w:pPr>
            <w:r>
              <w:rPr>
                <w:rFonts w:ascii="宋体" w:hAnsi="宋体"/>
                <w:color w:val="auto"/>
                <w:kern w:val="21"/>
                <w:szCs w:val="21"/>
              </w:rPr>
              <w:t>2</w:t>
            </w:r>
          </w:p>
        </w:tc>
        <w:tc>
          <w:tcPr>
            <w:tcW w:w="1928" w:type="dxa"/>
            <w:vAlign w:val="center"/>
          </w:tcPr>
          <w:p>
            <w:pPr>
              <w:widowControl/>
              <w:jc w:val="center"/>
              <w:rPr>
                <w:rFonts w:ascii="宋体" w:hAnsi="宋体"/>
                <w:color w:val="auto"/>
                <w:kern w:val="21"/>
                <w:szCs w:val="21"/>
              </w:rPr>
            </w:pPr>
            <w:r>
              <w:rPr>
                <w:rFonts w:ascii="宋体" w:hAnsi="宋体"/>
                <w:color w:val="auto"/>
                <w:kern w:val="21"/>
                <w:szCs w:val="21"/>
              </w:rPr>
              <w:t>铲斗容积1.0m</w:t>
            </w:r>
            <w:r>
              <w:rPr>
                <w:rFonts w:ascii="宋体" w:hAnsi="宋体"/>
                <w:color w:val="auto"/>
                <w:kern w:val="21"/>
                <w:szCs w:val="21"/>
                <w:vertAlign w:val="superscript"/>
              </w:rPr>
              <w:t>3</w:t>
            </w:r>
          </w:p>
        </w:tc>
        <w:tc>
          <w:tcPr>
            <w:tcW w:w="1460" w:type="dxa"/>
            <w:vAlign w:val="center"/>
          </w:tcPr>
          <w:p>
            <w:pPr>
              <w:widowControl/>
              <w:jc w:val="center"/>
              <w:rPr>
                <w:rFonts w:ascii="宋体" w:hAnsi="宋体"/>
                <w:color w:val="auto"/>
                <w:kern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49" w:hRule="atLeast"/>
          <w:jc w:val="center"/>
        </w:trPr>
        <w:tc>
          <w:tcPr>
            <w:tcW w:w="788" w:type="dxa"/>
            <w:vAlign w:val="center"/>
          </w:tcPr>
          <w:p>
            <w:pPr>
              <w:widowControl/>
              <w:jc w:val="center"/>
              <w:rPr>
                <w:rFonts w:ascii="宋体" w:hAnsi="宋体"/>
                <w:color w:val="auto"/>
                <w:kern w:val="21"/>
                <w:szCs w:val="21"/>
              </w:rPr>
            </w:pPr>
            <w:r>
              <w:rPr>
                <w:rFonts w:ascii="宋体" w:hAnsi="宋体"/>
                <w:color w:val="auto"/>
                <w:kern w:val="21"/>
                <w:szCs w:val="21"/>
              </w:rPr>
              <w:t>2</w:t>
            </w:r>
          </w:p>
        </w:tc>
        <w:tc>
          <w:tcPr>
            <w:tcW w:w="1631" w:type="dxa"/>
            <w:vAlign w:val="center"/>
          </w:tcPr>
          <w:p>
            <w:pPr>
              <w:widowControl/>
              <w:jc w:val="center"/>
              <w:rPr>
                <w:rFonts w:ascii="宋体" w:hAnsi="宋体"/>
                <w:color w:val="auto"/>
                <w:kern w:val="21"/>
                <w:szCs w:val="21"/>
              </w:rPr>
            </w:pPr>
            <w:r>
              <w:rPr>
                <w:rFonts w:ascii="宋体" w:hAnsi="宋体"/>
                <w:color w:val="auto"/>
                <w:kern w:val="21"/>
                <w:szCs w:val="21"/>
              </w:rPr>
              <w:t>自卸汽车</w:t>
            </w:r>
          </w:p>
        </w:tc>
        <w:tc>
          <w:tcPr>
            <w:tcW w:w="1780" w:type="dxa"/>
            <w:vAlign w:val="center"/>
          </w:tcPr>
          <w:p>
            <w:pPr>
              <w:widowControl/>
              <w:jc w:val="center"/>
              <w:rPr>
                <w:rFonts w:ascii="宋体" w:hAnsi="宋体"/>
                <w:color w:val="auto"/>
                <w:kern w:val="21"/>
                <w:szCs w:val="21"/>
              </w:rPr>
            </w:pPr>
            <w:r>
              <w:rPr>
                <w:rFonts w:hint="eastAsia" w:ascii="宋体" w:hAnsi="宋体"/>
                <w:color w:val="auto"/>
                <w:kern w:val="21"/>
                <w:szCs w:val="21"/>
              </w:rPr>
              <w:t>20</w:t>
            </w:r>
            <w:r>
              <w:rPr>
                <w:rFonts w:ascii="宋体" w:hAnsi="宋体"/>
                <w:color w:val="auto"/>
                <w:kern w:val="21"/>
                <w:szCs w:val="21"/>
              </w:rPr>
              <w:t>吨</w:t>
            </w:r>
          </w:p>
        </w:tc>
        <w:tc>
          <w:tcPr>
            <w:tcW w:w="890" w:type="dxa"/>
            <w:vAlign w:val="center"/>
          </w:tcPr>
          <w:p>
            <w:pPr>
              <w:widowControl/>
              <w:jc w:val="center"/>
              <w:rPr>
                <w:rFonts w:ascii="宋体" w:hAnsi="宋体"/>
                <w:color w:val="auto"/>
                <w:kern w:val="21"/>
                <w:szCs w:val="21"/>
              </w:rPr>
            </w:pPr>
            <w:r>
              <w:rPr>
                <w:rFonts w:hint="eastAsia" w:ascii="宋体" w:hAnsi="宋体"/>
                <w:color w:val="auto"/>
                <w:kern w:val="21"/>
                <w:szCs w:val="21"/>
              </w:rPr>
              <w:t>2</w:t>
            </w:r>
          </w:p>
        </w:tc>
        <w:tc>
          <w:tcPr>
            <w:tcW w:w="1928" w:type="dxa"/>
            <w:vAlign w:val="center"/>
          </w:tcPr>
          <w:p>
            <w:pPr>
              <w:widowControl/>
              <w:jc w:val="center"/>
              <w:rPr>
                <w:rFonts w:ascii="宋体" w:hAnsi="宋体"/>
                <w:color w:val="auto"/>
                <w:kern w:val="21"/>
                <w:szCs w:val="21"/>
              </w:rPr>
            </w:pPr>
          </w:p>
        </w:tc>
        <w:tc>
          <w:tcPr>
            <w:tcW w:w="1460" w:type="dxa"/>
            <w:vAlign w:val="center"/>
          </w:tcPr>
          <w:p>
            <w:pPr>
              <w:widowControl/>
              <w:jc w:val="center"/>
              <w:rPr>
                <w:rFonts w:ascii="宋体" w:hAnsi="宋体"/>
                <w:color w:val="auto"/>
                <w:kern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49" w:hRule="atLeast"/>
          <w:jc w:val="center"/>
        </w:trPr>
        <w:tc>
          <w:tcPr>
            <w:tcW w:w="788" w:type="dxa"/>
            <w:vAlign w:val="center"/>
          </w:tcPr>
          <w:p>
            <w:pPr>
              <w:widowControl/>
              <w:jc w:val="center"/>
              <w:rPr>
                <w:rFonts w:ascii="宋体" w:hAnsi="宋体"/>
                <w:color w:val="auto"/>
                <w:kern w:val="21"/>
                <w:szCs w:val="21"/>
              </w:rPr>
            </w:pPr>
            <w:r>
              <w:rPr>
                <w:rFonts w:ascii="宋体" w:hAnsi="宋体"/>
                <w:color w:val="auto"/>
                <w:kern w:val="21"/>
                <w:szCs w:val="21"/>
              </w:rPr>
              <w:t>3</w:t>
            </w:r>
          </w:p>
        </w:tc>
        <w:tc>
          <w:tcPr>
            <w:tcW w:w="1631" w:type="dxa"/>
            <w:vAlign w:val="center"/>
          </w:tcPr>
          <w:p>
            <w:pPr>
              <w:widowControl/>
              <w:jc w:val="center"/>
              <w:rPr>
                <w:rFonts w:ascii="宋体" w:hAnsi="宋体"/>
                <w:color w:val="auto"/>
                <w:kern w:val="21"/>
                <w:szCs w:val="21"/>
              </w:rPr>
            </w:pPr>
            <w:r>
              <w:rPr>
                <w:rFonts w:ascii="宋体" w:hAnsi="宋体"/>
                <w:color w:val="auto"/>
                <w:kern w:val="21"/>
                <w:szCs w:val="21"/>
              </w:rPr>
              <w:t>洒水车</w:t>
            </w:r>
          </w:p>
        </w:tc>
        <w:tc>
          <w:tcPr>
            <w:tcW w:w="1780" w:type="dxa"/>
            <w:vAlign w:val="center"/>
          </w:tcPr>
          <w:p>
            <w:pPr>
              <w:widowControl/>
              <w:jc w:val="center"/>
              <w:rPr>
                <w:rFonts w:ascii="宋体" w:hAnsi="宋体"/>
                <w:color w:val="auto"/>
                <w:kern w:val="21"/>
                <w:szCs w:val="21"/>
              </w:rPr>
            </w:pPr>
            <w:r>
              <w:rPr>
                <w:rFonts w:ascii="宋体" w:hAnsi="宋体"/>
                <w:color w:val="auto"/>
                <w:kern w:val="21"/>
                <w:szCs w:val="21"/>
              </w:rPr>
              <w:t>5吨</w:t>
            </w:r>
          </w:p>
        </w:tc>
        <w:tc>
          <w:tcPr>
            <w:tcW w:w="890" w:type="dxa"/>
            <w:vAlign w:val="center"/>
          </w:tcPr>
          <w:p>
            <w:pPr>
              <w:widowControl/>
              <w:jc w:val="center"/>
              <w:rPr>
                <w:rFonts w:ascii="宋体" w:hAnsi="宋体"/>
                <w:color w:val="auto"/>
                <w:kern w:val="21"/>
                <w:szCs w:val="21"/>
              </w:rPr>
            </w:pPr>
            <w:r>
              <w:rPr>
                <w:rFonts w:ascii="宋体" w:hAnsi="宋体"/>
                <w:color w:val="auto"/>
                <w:kern w:val="21"/>
                <w:szCs w:val="21"/>
              </w:rPr>
              <w:t>1</w:t>
            </w:r>
          </w:p>
        </w:tc>
        <w:tc>
          <w:tcPr>
            <w:tcW w:w="1928" w:type="dxa"/>
            <w:vAlign w:val="center"/>
          </w:tcPr>
          <w:p>
            <w:pPr>
              <w:widowControl/>
              <w:jc w:val="center"/>
              <w:rPr>
                <w:rFonts w:ascii="宋体" w:hAnsi="宋体"/>
                <w:color w:val="auto"/>
                <w:kern w:val="21"/>
                <w:szCs w:val="21"/>
              </w:rPr>
            </w:pPr>
          </w:p>
        </w:tc>
        <w:tc>
          <w:tcPr>
            <w:tcW w:w="1460" w:type="dxa"/>
            <w:vAlign w:val="center"/>
          </w:tcPr>
          <w:p>
            <w:pPr>
              <w:widowControl/>
              <w:jc w:val="center"/>
              <w:rPr>
                <w:rFonts w:ascii="宋体" w:hAnsi="宋体"/>
                <w:color w:val="auto"/>
                <w:kern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49" w:hRule="atLeast"/>
          <w:jc w:val="center"/>
        </w:trPr>
        <w:tc>
          <w:tcPr>
            <w:tcW w:w="788" w:type="dxa"/>
            <w:vAlign w:val="center"/>
          </w:tcPr>
          <w:p>
            <w:pPr>
              <w:widowControl/>
              <w:jc w:val="center"/>
              <w:rPr>
                <w:rFonts w:ascii="宋体" w:hAnsi="宋体"/>
                <w:color w:val="auto"/>
                <w:kern w:val="21"/>
                <w:szCs w:val="21"/>
              </w:rPr>
            </w:pPr>
            <w:r>
              <w:rPr>
                <w:rFonts w:ascii="宋体" w:hAnsi="宋体"/>
                <w:color w:val="auto"/>
                <w:kern w:val="21"/>
                <w:szCs w:val="21"/>
              </w:rPr>
              <w:t>4</w:t>
            </w:r>
          </w:p>
        </w:tc>
        <w:tc>
          <w:tcPr>
            <w:tcW w:w="1631" w:type="dxa"/>
            <w:vAlign w:val="center"/>
          </w:tcPr>
          <w:p>
            <w:pPr>
              <w:widowControl/>
              <w:jc w:val="center"/>
              <w:rPr>
                <w:rFonts w:ascii="宋体" w:hAnsi="宋体"/>
                <w:color w:val="auto"/>
                <w:kern w:val="21"/>
                <w:szCs w:val="21"/>
              </w:rPr>
            </w:pPr>
            <w:r>
              <w:rPr>
                <w:rFonts w:ascii="宋体" w:hAnsi="宋体"/>
                <w:color w:val="auto"/>
                <w:kern w:val="21"/>
                <w:szCs w:val="21"/>
              </w:rPr>
              <w:t>装载机</w:t>
            </w:r>
          </w:p>
        </w:tc>
        <w:tc>
          <w:tcPr>
            <w:tcW w:w="1780" w:type="dxa"/>
            <w:vAlign w:val="center"/>
          </w:tcPr>
          <w:p>
            <w:pPr>
              <w:widowControl/>
              <w:jc w:val="center"/>
              <w:rPr>
                <w:rFonts w:ascii="宋体" w:hAnsi="宋体"/>
                <w:color w:val="auto"/>
                <w:kern w:val="21"/>
                <w:szCs w:val="21"/>
              </w:rPr>
            </w:pPr>
            <w:r>
              <w:rPr>
                <w:rFonts w:ascii="宋体" w:hAnsi="宋体"/>
                <w:color w:val="auto"/>
                <w:kern w:val="21"/>
                <w:szCs w:val="21"/>
              </w:rPr>
              <w:t>2</w:t>
            </w:r>
            <w:r>
              <w:rPr>
                <w:rFonts w:hint="eastAsia" w:ascii="宋体" w:hAnsi="宋体"/>
                <w:color w:val="auto"/>
                <w:kern w:val="21"/>
                <w:szCs w:val="21"/>
              </w:rPr>
              <w:t xml:space="preserve"> </w:t>
            </w:r>
            <w:r>
              <w:rPr>
                <w:rFonts w:ascii="宋体" w:hAnsi="宋体"/>
                <w:color w:val="auto"/>
                <w:kern w:val="21"/>
                <w:szCs w:val="21"/>
              </w:rPr>
              <w:t>m</w:t>
            </w:r>
            <w:r>
              <w:rPr>
                <w:rFonts w:ascii="宋体" w:hAnsi="宋体"/>
                <w:color w:val="auto"/>
                <w:kern w:val="21"/>
                <w:szCs w:val="21"/>
                <w:vertAlign w:val="superscript"/>
              </w:rPr>
              <w:t>3</w:t>
            </w:r>
          </w:p>
        </w:tc>
        <w:tc>
          <w:tcPr>
            <w:tcW w:w="890" w:type="dxa"/>
            <w:vAlign w:val="center"/>
          </w:tcPr>
          <w:p>
            <w:pPr>
              <w:widowControl/>
              <w:jc w:val="center"/>
              <w:rPr>
                <w:rFonts w:ascii="宋体" w:hAnsi="宋体"/>
                <w:color w:val="auto"/>
                <w:kern w:val="21"/>
                <w:szCs w:val="21"/>
              </w:rPr>
            </w:pPr>
            <w:r>
              <w:rPr>
                <w:rFonts w:ascii="宋体" w:hAnsi="宋体"/>
                <w:color w:val="auto"/>
                <w:kern w:val="21"/>
                <w:szCs w:val="21"/>
              </w:rPr>
              <w:t>1</w:t>
            </w:r>
          </w:p>
        </w:tc>
        <w:tc>
          <w:tcPr>
            <w:tcW w:w="1928" w:type="dxa"/>
            <w:vAlign w:val="center"/>
          </w:tcPr>
          <w:p>
            <w:pPr>
              <w:widowControl/>
              <w:jc w:val="center"/>
              <w:rPr>
                <w:rFonts w:ascii="宋体" w:hAnsi="宋体"/>
                <w:color w:val="auto"/>
                <w:kern w:val="21"/>
                <w:szCs w:val="21"/>
              </w:rPr>
            </w:pPr>
            <w:r>
              <w:rPr>
                <w:rFonts w:hint="eastAsia" w:ascii="宋体" w:hAnsi="宋体"/>
                <w:color w:val="auto"/>
                <w:kern w:val="21"/>
                <w:szCs w:val="21"/>
              </w:rPr>
              <w:t>柳工ZL40</w:t>
            </w:r>
          </w:p>
        </w:tc>
        <w:tc>
          <w:tcPr>
            <w:tcW w:w="1460" w:type="dxa"/>
            <w:vAlign w:val="center"/>
          </w:tcPr>
          <w:p>
            <w:pPr>
              <w:widowControl/>
              <w:jc w:val="center"/>
              <w:rPr>
                <w:rFonts w:ascii="宋体" w:hAnsi="宋体"/>
                <w:color w:val="auto"/>
                <w:kern w:val="21"/>
                <w:szCs w:val="21"/>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49" w:hRule="atLeast"/>
          <w:jc w:val="center"/>
        </w:trPr>
        <w:tc>
          <w:tcPr>
            <w:tcW w:w="788" w:type="dxa"/>
            <w:vAlign w:val="center"/>
          </w:tcPr>
          <w:p>
            <w:pPr>
              <w:widowControl/>
              <w:jc w:val="center"/>
              <w:rPr>
                <w:rFonts w:ascii="宋体" w:hAnsi="宋体"/>
                <w:color w:val="auto"/>
                <w:kern w:val="21"/>
                <w:szCs w:val="21"/>
              </w:rPr>
            </w:pPr>
            <w:r>
              <w:rPr>
                <w:rFonts w:ascii="宋体" w:hAnsi="宋体"/>
                <w:color w:val="auto"/>
                <w:kern w:val="21"/>
                <w:szCs w:val="21"/>
              </w:rPr>
              <w:t>5</w:t>
            </w:r>
          </w:p>
        </w:tc>
        <w:tc>
          <w:tcPr>
            <w:tcW w:w="1631" w:type="dxa"/>
            <w:vAlign w:val="center"/>
          </w:tcPr>
          <w:p>
            <w:pPr>
              <w:widowControl/>
              <w:jc w:val="center"/>
              <w:rPr>
                <w:rFonts w:ascii="宋体" w:hAnsi="宋体"/>
                <w:color w:val="auto"/>
                <w:kern w:val="21"/>
                <w:szCs w:val="21"/>
              </w:rPr>
            </w:pPr>
            <w:r>
              <w:rPr>
                <w:rFonts w:ascii="宋体" w:hAnsi="宋体"/>
                <w:color w:val="auto"/>
                <w:kern w:val="21"/>
                <w:szCs w:val="21"/>
              </w:rPr>
              <w:t>推土机</w:t>
            </w:r>
          </w:p>
        </w:tc>
        <w:tc>
          <w:tcPr>
            <w:tcW w:w="1780" w:type="dxa"/>
            <w:vAlign w:val="center"/>
          </w:tcPr>
          <w:p>
            <w:pPr>
              <w:widowControl/>
              <w:jc w:val="center"/>
              <w:rPr>
                <w:rFonts w:ascii="宋体" w:hAnsi="宋体"/>
                <w:color w:val="auto"/>
                <w:kern w:val="21"/>
                <w:szCs w:val="21"/>
              </w:rPr>
            </w:pPr>
          </w:p>
        </w:tc>
        <w:tc>
          <w:tcPr>
            <w:tcW w:w="890" w:type="dxa"/>
            <w:vAlign w:val="center"/>
          </w:tcPr>
          <w:p>
            <w:pPr>
              <w:widowControl/>
              <w:jc w:val="center"/>
              <w:rPr>
                <w:rFonts w:ascii="宋体" w:hAnsi="宋体"/>
                <w:color w:val="auto"/>
                <w:kern w:val="21"/>
                <w:szCs w:val="21"/>
              </w:rPr>
            </w:pPr>
            <w:r>
              <w:rPr>
                <w:rFonts w:ascii="宋体" w:hAnsi="宋体"/>
                <w:color w:val="auto"/>
                <w:kern w:val="21"/>
                <w:szCs w:val="21"/>
              </w:rPr>
              <w:t>1</w:t>
            </w:r>
          </w:p>
        </w:tc>
        <w:tc>
          <w:tcPr>
            <w:tcW w:w="1928" w:type="dxa"/>
            <w:vAlign w:val="center"/>
          </w:tcPr>
          <w:p>
            <w:pPr>
              <w:widowControl/>
              <w:jc w:val="center"/>
              <w:rPr>
                <w:rFonts w:ascii="宋体" w:hAnsi="宋体"/>
                <w:color w:val="auto"/>
                <w:kern w:val="21"/>
                <w:szCs w:val="21"/>
              </w:rPr>
            </w:pPr>
          </w:p>
        </w:tc>
        <w:tc>
          <w:tcPr>
            <w:tcW w:w="1460" w:type="dxa"/>
            <w:vAlign w:val="center"/>
          </w:tcPr>
          <w:p>
            <w:pPr>
              <w:widowControl/>
              <w:jc w:val="center"/>
              <w:rPr>
                <w:rFonts w:ascii="宋体" w:hAnsi="宋体"/>
                <w:color w:val="auto"/>
                <w:kern w:val="21"/>
                <w:szCs w:val="21"/>
              </w:rPr>
            </w:pPr>
            <w:r>
              <w:rPr>
                <w:rFonts w:ascii="宋体" w:hAnsi="宋体"/>
                <w:color w:val="auto"/>
                <w:kern w:val="21"/>
                <w:szCs w:val="21"/>
              </w:rPr>
              <w:t>排土</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56" w:hRule="atLeast"/>
          <w:jc w:val="center"/>
        </w:trPr>
        <w:tc>
          <w:tcPr>
            <w:tcW w:w="788" w:type="dxa"/>
            <w:vAlign w:val="center"/>
          </w:tcPr>
          <w:p>
            <w:pPr>
              <w:widowControl/>
              <w:jc w:val="center"/>
              <w:rPr>
                <w:rFonts w:ascii="宋体" w:hAnsi="宋体"/>
                <w:color w:val="auto"/>
                <w:kern w:val="21"/>
                <w:szCs w:val="21"/>
              </w:rPr>
            </w:pPr>
            <w:r>
              <w:rPr>
                <w:rFonts w:ascii="宋体" w:hAnsi="宋体"/>
                <w:color w:val="auto"/>
                <w:kern w:val="21"/>
                <w:szCs w:val="21"/>
              </w:rPr>
              <w:t>6</w:t>
            </w:r>
          </w:p>
        </w:tc>
        <w:tc>
          <w:tcPr>
            <w:tcW w:w="1631" w:type="dxa"/>
            <w:vAlign w:val="center"/>
          </w:tcPr>
          <w:p>
            <w:pPr>
              <w:widowControl/>
              <w:jc w:val="center"/>
              <w:rPr>
                <w:rFonts w:ascii="宋体" w:hAnsi="宋体"/>
                <w:color w:val="auto"/>
                <w:kern w:val="21"/>
                <w:szCs w:val="21"/>
              </w:rPr>
            </w:pPr>
            <w:r>
              <w:rPr>
                <w:rFonts w:ascii="宋体" w:hAnsi="宋体"/>
                <w:color w:val="auto"/>
                <w:kern w:val="21"/>
                <w:szCs w:val="21"/>
              </w:rPr>
              <w:t>水泵</w:t>
            </w:r>
          </w:p>
        </w:tc>
        <w:tc>
          <w:tcPr>
            <w:tcW w:w="1780" w:type="dxa"/>
            <w:vAlign w:val="center"/>
          </w:tcPr>
          <w:p>
            <w:pPr>
              <w:widowControl/>
              <w:jc w:val="center"/>
              <w:rPr>
                <w:rFonts w:ascii="宋体" w:hAnsi="宋体"/>
                <w:color w:val="auto"/>
                <w:kern w:val="21"/>
                <w:szCs w:val="21"/>
              </w:rPr>
            </w:pPr>
            <w:r>
              <w:rPr>
                <w:rFonts w:ascii="宋体" w:hAnsi="宋体"/>
                <w:color w:val="auto"/>
                <w:kern w:val="21"/>
                <w:szCs w:val="21"/>
              </w:rPr>
              <w:t>D6-25×5</w:t>
            </w:r>
          </w:p>
        </w:tc>
        <w:tc>
          <w:tcPr>
            <w:tcW w:w="890" w:type="dxa"/>
            <w:vAlign w:val="center"/>
          </w:tcPr>
          <w:p>
            <w:pPr>
              <w:widowControl/>
              <w:jc w:val="center"/>
              <w:rPr>
                <w:rFonts w:ascii="宋体" w:hAnsi="宋体"/>
                <w:color w:val="auto"/>
                <w:kern w:val="21"/>
                <w:szCs w:val="21"/>
              </w:rPr>
            </w:pPr>
            <w:r>
              <w:rPr>
                <w:rFonts w:ascii="宋体" w:hAnsi="宋体"/>
                <w:color w:val="auto"/>
                <w:kern w:val="21"/>
                <w:szCs w:val="21"/>
              </w:rPr>
              <w:t>2</w:t>
            </w:r>
          </w:p>
        </w:tc>
        <w:tc>
          <w:tcPr>
            <w:tcW w:w="1928" w:type="dxa"/>
            <w:vAlign w:val="center"/>
          </w:tcPr>
          <w:p>
            <w:pPr>
              <w:widowControl/>
              <w:jc w:val="center"/>
              <w:rPr>
                <w:rFonts w:ascii="宋体" w:hAnsi="宋体"/>
                <w:color w:val="auto"/>
                <w:kern w:val="21"/>
                <w:szCs w:val="21"/>
              </w:rPr>
            </w:pPr>
            <w:r>
              <w:rPr>
                <w:rFonts w:ascii="宋体" w:hAnsi="宋体"/>
                <w:color w:val="auto"/>
                <w:kern w:val="21"/>
                <w:szCs w:val="21"/>
              </w:rPr>
              <w:t>7.5kW</w:t>
            </w:r>
          </w:p>
        </w:tc>
        <w:tc>
          <w:tcPr>
            <w:tcW w:w="1460" w:type="dxa"/>
            <w:vAlign w:val="center"/>
          </w:tcPr>
          <w:p>
            <w:pPr>
              <w:widowControl/>
              <w:jc w:val="center"/>
              <w:rPr>
                <w:rFonts w:ascii="宋体" w:hAnsi="宋体"/>
                <w:color w:val="auto"/>
                <w:kern w:val="21"/>
                <w:szCs w:val="21"/>
              </w:rPr>
            </w:pPr>
            <w:r>
              <w:rPr>
                <w:rFonts w:ascii="宋体" w:hAnsi="宋体"/>
                <w:color w:val="auto"/>
                <w:kern w:val="21"/>
                <w:szCs w:val="21"/>
              </w:rPr>
              <w:t>水池供水</w:t>
            </w:r>
          </w:p>
        </w:tc>
      </w:tr>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8"/>
      <w:bookmarkEnd w:id="169"/>
    </w:tbl>
    <w:p>
      <w:pPr>
        <w:pStyle w:val="3"/>
        <w:keepNext w:val="0"/>
        <w:widowControl/>
        <w:spacing w:line="500" w:lineRule="exact"/>
        <w:ind w:firstLine="482" w:firstLineChars="200"/>
        <w:jc w:val="both"/>
        <w:rPr>
          <w:rFonts w:ascii="宋体" w:hAnsi="宋体" w:eastAsia="宋体"/>
          <w:b/>
          <w:color w:val="auto"/>
          <w:sz w:val="24"/>
        </w:rPr>
        <w:sectPr>
          <w:footerReference r:id="rId12" w:type="default"/>
          <w:pgSz w:w="11906" w:h="16838"/>
          <w:pgMar w:top="1418" w:right="1588" w:bottom="1134" w:left="1134" w:header="851" w:footer="992" w:gutter="0"/>
          <w:pgBorders>
            <w:top w:val="none" w:sz="0" w:space="0"/>
            <w:left w:val="none" w:sz="0" w:space="0"/>
            <w:bottom w:val="none" w:sz="0" w:space="0"/>
            <w:right w:val="none" w:sz="0" w:space="0"/>
          </w:pgBorders>
          <w:pgNumType w:fmt="decimal" w:start="1"/>
          <w:cols w:space="720" w:num="1"/>
          <w:docGrid w:linePitch="312" w:charSpace="0"/>
        </w:sectPr>
      </w:pPr>
      <w:bookmarkStart w:id="171" w:name="_Toc158168003"/>
      <w:bookmarkStart w:id="172" w:name="_Toc168484328"/>
      <w:bookmarkStart w:id="173" w:name="_Toc158167890"/>
      <w:bookmarkStart w:id="174" w:name="_Toc233881410"/>
      <w:bookmarkStart w:id="175" w:name="_Toc198106932"/>
      <w:bookmarkStart w:id="176" w:name="_Toc156811390"/>
      <w:bookmarkStart w:id="177" w:name="_Toc149559814"/>
      <w:bookmarkStart w:id="178" w:name="_Toc146159888"/>
      <w:bookmarkStart w:id="179" w:name="_Toc142895775"/>
      <w:bookmarkStart w:id="180" w:name="_Toc124474336"/>
    </w:p>
    <w:p>
      <w:pPr>
        <w:pStyle w:val="3"/>
        <w:widowControl/>
        <w:spacing w:before="120" w:after="120" w:line="500" w:lineRule="exact"/>
        <w:rPr>
          <w:rFonts w:ascii="宋体" w:hAnsi="宋体" w:eastAsia="宋体"/>
          <w:b/>
          <w:color w:val="auto"/>
          <w:kern w:val="30"/>
          <w:sz w:val="30"/>
          <w:szCs w:val="30"/>
        </w:rPr>
      </w:pPr>
      <w:bookmarkStart w:id="181" w:name="_Toc150262774"/>
      <w:r>
        <w:rPr>
          <w:rFonts w:hint="eastAsia" w:ascii="宋体" w:hAnsi="宋体" w:eastAsia="宋体"/>
          <w:b/>
          <w:color w:val="auto"/>
          <w:kern w:val="30"/>
          <w:sz w:val="30"/>
          <w:szCs w:val="30"/>
        </w:rPr>
        <w:t>3定性、定量评价</w:t>
      </w:r>
      <w:bookmarkEnd w:id="171"/>
      <w:bookmarkEnd w:id="172"/>
      <w:bookmarkEnd w:id="173"/>
      <w:bookmarkEnd w:id="174"/>
      <w:bookmarkEnd w:id="175"/>
      <w:bookmarkEnd w:id="176"/>
      <w:bookmarkEnd w:id="177"/>
      <w:bookmarkEnd w:id="181"/>
    </w:p>
    <w:p>
      <w:pPr>
        <w:pStyle w:val="4"/>
        <w:keepLines w:val="0"/>
        <w:widowControl/>
        <w:spacing w:before="120" w:after="120" w:line="500" w:lineRule="exact"/>
        <w:rPr>
          <w:rFonts w:ascii="宋体" w:hAnsi="宋体" w:eastAsia="宋体"/>
          <w:b/>
          <w:bCs w:val="0"/>
          <w:color w:val="auto"/>
          <w:kern w:val="28"/>
          <w:sz w:val="28"/>
          <w:szCs w:val="28"/>
        </w:rPr>
      </w:pPr>
      <w:bookmarkStart w:id="182" w:name="_Toc150262775"/>
      <w:r>
        <w:rPr>
          <w:rFonts w:hint="eastAsia" w:ascii="宋体" w:hAnsi="宋体" w:eastAsia="宋体"/>
          <w:b/>
          <w:bCs w:val="0"/>
          <w:color w:val="auto"/>
          <w:kern w:val="28"/>
          <w:sz w:val="28"/>
          <w:szCs w:val="28"/>
        </w:rPr>
        <w:t>3</w:t>
      </w:r>
      <w:r>
        <w:rPr>
          <w:rFonts w:ascii="宋体" w:hAnsi="宋体" w:eastAsia="宋体"/>
          <w:b/>
          <w:bCs w:val="0"/>
          <w:color w:val="auto"/>
          <w:kern w:val="28"/>
          <w:sz w:val="28"/>
          <w:szCs w:val="28"/>
        </w:rPr>
        <w:t>.1评价单元的划分和采用的评价方法</w:t>
      </w:r>
      <w:bookmarkEnd w:id="182"/>
    </w:p>
    <w:p>
      <w:pPr>
        <w:widowControl/>
        <w:spacing w:line="500" w:lineRule="exact"/>
        <w:ind w:firstLine="480" w:firstLineChars="200"/>
        <w:rPr>
          <w:rFonts w:ascii="宋体" w:hAnsi="宋体" w:cs="宋体"/>
          <w:color w:val="auto"/>
          <w:kern w:val="24"/>
          <w:sz w:val="24"/>
        </w:rPr>
      </w:pPr>
      <w:r>
        <w:rPr>
          <w:rFonts w:hint="eastAsia" w:ascii="宋体" w:hAnsi="宋体" w:cs="宋体"/>
          <w:color w:val="auto"/>
          <w:kern w:val="24"/>
          <w:sz w:val="24"/>
        </w:rPr>
        <w:t>根据有关法律、法规、标准和规范的相关规定，借鉴同类矿山事故经验教训，针对建设项目建设方案，对每一单元应用所选用的评价方法进行定性、定量分析评价。主要针对建设项目潜在的危险、有害因素，分析和预测可能发生事故后果和危险等级；分析评价建设方案的安全法规符合性及其合理性。对每一单元进行评价总结。</w:t>
      </w:r>
    </w:p>
    <w:p>
      <w:pPr>
        <w:widowControl/>
        <w:spacing w:line="500" w:lineRule="exact"/>
        <w:ind w:firstLine="480" w:firstLineChars="200"/>
        <w:rPr>
          <w:rFonts w:ascii="宋体" w:hAnsi="宋体" w:cs="宋体"/>
          <w:color w:val="auto"/>
          <w:kern w:val="24"/>
          <w:sz w:val="24"/>
        </w:rPr>
      </w:pPr>
      <w:r>
        <w:rPr>
          <w:rFonts w:hint="eastAsia" w:ascii="宋体" w:hAnsi="宋体" w:cs="宋体"/>
          <w:color w:val="auto"/>
          <w:kern w:val="24"/>
          <w:sz w:val="24"/>
        </w:rPr>
        <w:t>根据《国家安全监管总局关于印发金属非金属矿山建设项目安全评价报告编写提纲的通知》（安监总管一〔2016〕49号）附件二：金属非金属露天矿山建设项目安全预评价报告编写提纲，结合本项目建设特点该矿山建设项目安全预评价单元划分为</w:t>
      </w:r>
      <w:r>
        <w:rPr>
          <w:rFonts w:ascii="宋体" w:hAnsi="宋体" w:cs="宋体"/>
          <w:color w:val="auto"/>
          <w:kern w:val="24"/>
          <w:sz w:val="24"/>
        </w:rPr>
        <w:t>7</w:t>
      </w:r>
      <w:r>
        <w:rPr>
          <w:rFonts w:hint="eastAsia" w:ascii="宋体" w:hAnsi="宋体" w:cs="宋体"/>
          <w:color w:val="auto"/>
          <w:kern w:val="24"/>
          <w:sz w:val="24"/>
        </w:rPr>
        <w:t>个大单元：</w:t>
      </w:r>
    </w:p>
    <w:p>
      <w:pPr>
        <w:widowControl/>
        <w:spacing w:line="500" w:lineRule="exact"/>
        <w:ind w:firstLine="480" w:firstLineChars="200"/>
        <w:rPr>
          <w:rFonts w:ascii="宋体" w:hAnsi="宋体"/>
          <w:bCs/>
          <w:color w:val="auto"/>
          <w:kern w:val="24"/>
          <w:sz w:val="24"/>
        </w:rPr>
      </w:pPr>
      <w:r>
        <w:rPr>
          <w:rFonts w:ascii="宋体" w:hAnsi="宋体"/>
          <w:bCs/>
          <w:color w:val="auto"/>
          <w:kern w:val="24"/>
          <w:sz w:val="24"/>
        </w:rPr>
        <w:t>1）总平面布置单元</w:t>
      </w:r>
    </w:p>
    <w:p>
      <w:pPr>
        <w:widowControl/>
        <w:spacing w:line="500" w:lineRule="exact"/>
        <w:ind w:firstLine="480" w:firstLineChars="200"/>
        <w:rPr>
          <w:rFonts w:ascii="宋体" w:hAnsi="宋体"/>
          <w:bCs/>
          <w:color w:val="auto"/>
          <w:kern w:val="24"/>
          <w:sz w:val="24"/>
        </w:rPr>
      </w:pPr>
      <w:r>
        <w:rPr>
          <w:rFonts w:ascii="宋体" w:hAnsi="宋体"/>
          <w:bCs/>
          <w:color w:val="auto"/>
          <w:kern w:val="24"/>
          <w:sz w:val="24"/>
        </w:rPr>
        <w:t>2）开拓运输单元</w:t>
      </w:r>
    </w:p>
    <w:p>
      <w:pPr>
        <w:widowControl/>
        <w:spacing w:line="500" w:lineRule="exact"/>
        <w:ind w:firstLine="480" w:firstLineChars="200"/>
        <w:rPr>
          <w:rFonts w:ascii="宋体" w:hAnsi="宋体"/>
          <w:bCs/>
          <w:color w:val="auto"/>
          <w:kern w:val="24"/>
          <w:sz w:val="24"/>
        </w:rPr>
      </w:pPr>
      <w:r>
        <w:rPr>
          <w:rFonts w:ascii="宋体" w:hAnsi="宋体"/>
          <w:bCs/>
          <w:color w:val="auto"/>
          <w:kern w:val="24"/>
          <w:sz w:val="24"/>
        </w:rPr>
        <w:t>3）采剥单元</w:t>
      </w:r>
    </w:p>
    <w:p>
      <w:pPr>
        <w:widowControl/>
        <w:spacing w:line="500" w:lineRule="exact"/>
        <w:ind w:firstLine="480" w:firstLineChars="200"/>
        <w:rPr>
          <w:rFonts w:ascii="宋体" w:hAnsi="宋体"/>
          <w:bCs/>
          <w:color w:val="auto"/>
          <w:kern w:val="24"/>
          <w:sz w:val="24"/>
        </w:rPr>
      </w:pPr>
      <w:r>
        <w:rPr>
          <w:rFonts w:hint="eastAsia" w:ascii="宋体" w:hAnsi="宋体"/>
          <w:bCs/>
          <w:color w:val="auto"/>
          <w:kern w:val="24"/>
          <w:sz w:val="24"/>
        </w:rPr>
        <w:t>4）通风系统单元</w:t>
      </w:r>
    </w:p>
    <w:p>
      <w:pPr>
        <w:widowControl/>
        <w:spacing w:line="500" w:lineRule="exact"/>
        <w:ind w:firstLine="480" w:firstLineChars="200"/>
        <w:rPr>
          <w:rFonts w:ascii="宋体" w:hAnsi="宋体"/>
          <w:bCs/>
          <w:color w:val="auto"/>
          <w:kern w:val="24"/>
          <w:sz w:val="24"/>
        </w:rPr>
      </w:pPr>
      <w:r>
        <w:rPr>
          <w:rFonts w:ascii="宋体" w:hAnsi="宋体"/>
          <w:bCs/>
          <w:color w:val="auto"/>
          <w:kern w:val="24"/>
          <w:sz w:val="24"/>
        </w:rPr>
        <w:t>5</w:t>
      </w:r>
      <w:r>
        <w:rPr>
          <w:rFonts w:hint="eastAsia" w:ascii="宋体" w:hAnsi="宋体"/>
          <w:bCs/>
          <w:color w:val="auto"/>
          <w:kern w:val="24"/>
          <w:sz w:val="24"/>
        </w:rPr>
        <w:t>）</w:t>
      </w:r>
      <w:r>
        <w:rPr>
          <w:rFonts w:ascii="宋体" w:hAnsi="宋体"/>
          <w:bCs/>
          <w:color w:val="auto"/>
          <w:kern w:val="24"/>
          <w:sz w:val="24"/>
        </w:rPr>
        <w:t>矿山供配电设施单元</w:t>
      </w:r>
    </w:p>
    <w:p>
      <w:pPr>
        <w:widowControl/>
        <w:spacing w:line="500" w:lineRule="exact"/>
        <w:ind w:firstLine="480" w:firstLineChars="200"/>
        <w:rPr>
          <w:rFonts w:ascii="宋体" w:hAnsi="宋体"/>
          <w:bCs/>
          <w:color w:val="auto"/>
          <w:kern w:val="24"/>
          <w:sz w:val="24"/>
        </w:rPr>
      </w:pPr>
      <w:r>
        <w:rPr>
          <w:rFonts w:ascii="宋体" w:hAnsi="宋体"/>
          <w:bCs/>
          <w:color w:val="auto"/>
          <w:kern w:val="24"/>
          <w:sz w:val="24"/>
        </w:rPr>
        <w:t>6）防排水单元</w:t>
      </w:r>
    </w:p>
    <w:p>
      <w:pPr>
        <w:widowControl/>
        <w:spacing w:line="500" w:lineRule="exact"/>
        <w:ind w:firstLine="480" w:firstLineChars="200"/>
        <w:rPr>
          <w:rFonts w:ascii="宋体" w:hAnsi="宋体"/>
          <w:bCs/>
          <w:color w:val="auto"/>
          <w:kern w:val="24"/>
          <w:sz w:val="24"/>
        </w:rPr>
      </w:pPr>
      <w:r>
        <w:rPr>
          <w:rFonts w:ascii="宋体" w:hAnsi="宋体"/>
          <w:bCs/>
          <w:color w:val="auto"/>
          <w:kern w:val="24"/>
          <w:sz w:val="24"/>
        </w:rPr>
        <w:t>7</w:t>
      </w:r>
      <w:r>
        <w:rPr>
          <w:rFonts w:hint="eastAsia" w:ascii="宋体" w:hAnsi="宋体"/>
          <w:bCs/>
          <w:color w:val="auto"/>
          <w:kern w:val="24"/>
          <w:sz w:val="24"/>
        </w:rPr>
        <w:t>）安全管理及其他单元</w:t>
      </w:r>
    </w:p>
    <w:p>
      <w:pPr>
        <w:widowControl/>
        <w:spacing w:line="500" w:lineRule="exact"/>
        <w:ind w:firstLine="480" w:firstLineChars="200"/>
        <w:rPr>
          <w:rFonts w:ascii="宋体" w:hAnsi="宋体"/>
          <w:color w:val="auto"/>
          <w:kern w:val="24"/>
          <w:sz w:val="24"/>
        </w:rPr>
      </w:pPr>
      <w:r>
        <w:rPr>
          <w:rFonts w:ascii="宋体" w:hAnsi="宋体"/>
          <w:color w:val="auto"/>
          <w:kern w:val="24"/>
          <w:sz w:val="24"/>
        </w:rPr>
        <w:t>本次预评价拟采用预先危险性分析法、安全检查表法、安全检查法和</w:t>
      </w:r>
      <w:r>
        <w:rPr>
          <w:rFonts w:hint="eastAsia" w:ascii="宋体" w:hAnsi="宋体"/>
          <w:color w:val="auto"/>
          <w:kern w:val="24"/>
          <w:sz w:val="24"/>
        </w:rPr>
        <w:t>定量计算法</w:t>
      </w:r>
      <w:r>
        <w:rPr>
          <w:rFonts w:ascii="宋体" w:hAnsi="宋体"/>
          <w:color w:val="auto"/>
          <w:kern w:val="24"/>
          <w:sz w:val="24"/>
        </w:rPr>
        <w:t>进行分析评价。</w:t>
      </w:r>
    </w:p>
    <w:p>
      <w:pPr>
        <w:widowControl/>
        <w:spacing w:line="500" w:lineRule="exact"/>
        <w:ind w:firstLine="482" w:firstLineChars="200"/>
        <w:rPr>
          <w:rFonts w:ascii="宋体" w:hAnsi="宋体"/>
          <w:b/>
          <w:color w:val="auto"/>
          <w:kern w:val="24"/>
          <w:sz w:val="24"/>
        </w:rPr>
      </w:pPr>
      <w:r>
        <w:rPr>
          <w:rFonts w:ascii="宋体" w:hAnsi="宋体"/>
          <w:b/>
          <w:color w:val="auto"/>
          <w:kern w:val="24"/>
          <w:sz w:val="24"/>
        </w:rPr>
        <w:t>1）预先危险性分析法：</w:t>
      </w:r>
    </w:p>
    <w:p>
      <w:pPr>
        <w:widowControl/>
        <w:spacing w:line="500" w:lineRule="exact"/>
        <w:ind w:firstLine="480" w:firstLineChars="200"/>
        <w:rPr>
          <w:rFonts w:ascii="宋体" w:hAnsi="宋体"/>
          <w:color w:val="auto"/>
          <w:kern w:val="24"/>
          <w:sz w:val="24"/>
        </w:rPr>
      </w:pPr>
      <w:r>
        <w:rPr>
          <w:rFonts w:ascii="宋体" w:hAnsi="宋体"/>
          <w:color w:val="auto"/>
          <w:kern w:val="24"/>
          <w:sz w:val="24"/>
        </w:rPr>
        <w:t>预先危险性分析（Preliminary Hazard Analysis</w:t>
      </w:r>
      <w:r>
        <w:rPr>
          <w:rFonts w:hint="eastAsia" w:ascii="宋体" w:hAnsi="宋体"/>
          <w:color w:val="auto"/>
          <w:kern w:val="24"/>
          <w:sz w:val="24"/>
        </w:rPr>
        <w:t>，</w:t>
      </w:r>
      <w:r>
        <w:rPr>
          <w:rFonts w:ascii="宋体" w:hAnsi="宋体"/>
          <w:color w:val="auto"/>
          <w:kern w:val="24"/>
          <w:sz w:val="24"/>
        </w:rPr>
        <w:t>PHA）又称初步危险分析，主要用于项目在开发初期阶段分析有关危险因素失控时可能出现的危险性类别、条件及可能造成的后果，作宏观的概略分析，其目的是辨识系统中存在的潜在危险，确定其危险等级。其主要功能：</w:t>
      </w:r>
    </w:p>
    <w:p>
      <w:pPr>
        <w:widowControl/>
        <w:spacing w:line="500" w:lineRule="exact"/>
        <w:ind w:firstLine="480" w:firstLineChars="200"/>
        <w:rPr>
          <w:rFonts w:ascii="宋体" w:hAnsi="宋体"/>
          <w:color w:val="auto"/>
          <w:kern w:val="24"/>
          <w:sz w:val="24"/>
        </w:rPr>
      </w:pPr>
      <w:r>
        <w:rPr>
          <w:rFonts w:hint="eastAsia" w:ascii="宋体" w:hAnsi="宋体"/>
          <w:color w:val="auto"/>
          <w:kern w:val="24"/>
          <w:sz w:val="24"/>
        </w:rPr>
        <w:t>（1）</w:t>
      </w:r>
      <w:r>
        <w:rPr>
          <w:rFonts w:ascii="宋体" w:hAnsi="宋体"/>
          <w:color w:val="auto"/>
          <w:kern w:val="24"/>
          <w:sz w:val="24"/>
        </w:rPr>
        <w:t>大体识别与系统有关的主要危险；</w:t>
      </w:r>
    </w:p>
    <w:p>
      <w:pPr>
        <w:widowControl/>
        <w:spacing w:line="500" w:lineRule="exact"/>
        <w:ind w:firstLine="480" w:firstLineChars="200"/>
        <w:rPr>
          <w:rFonts w:ascii="宋体" w:hAnsi="宋体"/>
          <w:color w:val="auto"/>
          <w:kern w:val="24"/>
          <w:sz w:val="24"/>
        </w:rPr>
      </w:pPr>
      <w:r>
        <w:rPr>
          <w:rFonts w:hint="eastAsia" w:ascii="宋体" w:hAnsi="宋体"/>
          <w:color w:val="auto"/>
          <w:kern w:val="24"/>
          <w:sz w:val="24"/>
        </w:rPr>
        <w:t>（2）</w:t>
      </w:r>
      <w:r>
        <w:rPr>
          <w:rFonts w:ascii="宋体" w:hAnsi="宋体"/>
          <w:color w:val="auto"/>
          <w:kern w:val="24"/>
          <w:sz w:val="24"/>
        </w:rPr>
        <w:t>鉴别产生危险的原因；</w:t>
      </w:r>
    </w:p>
    <w:p>
      <w:pPr>
        <w:widowControl/>
        <w:spacing w:line="500" w:lineRule="exact"/>
        <w:ind w:firstLine="480" w:firstLineChars="200"/>
        <w:rPr>
          <w:rFonts w:ascii="宋体" w:hAnsi="宋体"/>
          <w:color w:val="auto"/>
          <w:kern w:val="24"/>
          <w:sz w:val="24"/>
        </w:rPr>
      </w:pPr>
      <w:r>
        <w:rPr>
          <w:rFonts w:hint="eastAsia" w:ascii="宋体" w:hAnsi="宋体"/>
          <w:color w:val="auto"/>
          <w:kern w:val="24"/>
          <w:sz w:val="24"/>
        </w:rPr>
        <w:t>（3）</w:t>
      </w:r>
      <w:r>
        <w:rPr>
          <w:rFonts w:ascii="宋体" w:hAnsi="宋体"/>
          <w:color w:val="auto"/>
          <w:kern w:val="24"/>
          <w:sz w:val="24"/>
        </w:rPr>
        <w:t>估计事故出现对系统产生的影响；</w:t>
      </w:r>
    </w:p>
    <w:p>
      <w:pPr>
        <w:widowControl/>
        <w:spacing w:line="500" w:lineRule="exact"/>
        <w:ind w:firstLine="480" w:firstLineChars="200"/>
        <w:rPr>
          <w:rFonts w:ascii="宋体" w:hAnsi="宋体"/>
          <w:color w:val="auto"/>
          <w:kern w:val="24"/>
          <w:sz w:val="24"/>
        </w:rPr>
      </w:pPr>
      <w:r>
        <w:rPr>
          <w:rFonts w:hint="eastAsia" w:ascii="宋体" w:hAnsi="宋体"/>
          <w:color w:val="auto"/>
          <w:kern w:val="24"/>
          <w:sz w:val="24"/>
        </w:rPr>
        <w:t>（4）</w:t>
      </w:r>
      <w:r>
        <w:rPr>
          <w:rFonts w:ascii="宋体" w:hAnsi="宋体"/>
          <w:color w:val="auto"/>
          <w:kern w:val="24"/>
          <w:sz w:val="24"/>
        </w:rPr>
        <w:t>判定已识别的危险性等级，并提出消除或控制危险性的措施。</w:t>
      </w:r>
    </w:p>
    <w:p>
      <w:pPr>
        <w:widowControl/>
        <w:spacing w:line="500" w:lineRule="exact"/>
        <w:ind w:firstLine="480" w:firstLineChars="200"/>
        <w:rPr>
          <w:rFonts w:ascii="宋体" w:hAnsi="宋体"/>
          <w:color w:val="auto"/>
          <w:kern w:val="24"/>
          <w:sz w:val="24"/>
        </w:rPr>
      </w:pPr>
      <w:r>
        <w:rPr>
          <w:rFonts w:ascii="宋体" w:hAnsi="宋体"/>
          <w:color w:val="auto"/>
          <w:kern w:val="24"/>
          <w:sz w:val="24"/>
        </w:rPr>
        <w:t>在分析系统危险性时，为了衡量危险性的大小及其对系统破坏程度，将各类危险性划分为4个等级。危险性等级划分见表3-1：</w:t>
      </w:r>
    </w:p>
    <w:p>
      <w:pPr>
        <w:keepNext/>
        <w:keepLines/>
        <w:widowControl/>
        <w:jc w:val="center"/>
        <w:outlineLvl w:val="4"/>
        <w:rPr>
          <w:rFonts w:ascii="宋体" w:hAnsi="宋体"/>
          <w:b/>
          <w:color w:val="auto"/>
        </w:rPr>
      </w:pPr>
      <w:r>
        <w:rPr>
          <w:rFonts w:ascii="宋体" w:hAnsi="宋体"/>
          <w:b/>
          <w:color w:val="auto"/>
        </w:rPr>
        <w:t>表3-1 危险性等级划分</w:t>
      </w:r>
    </w:p>
    <w:tbl>
      <w:tblPr>
        <w:tblStyle w:val="41"/>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97"/>
        <w:gridCol w:w="1422"/>
        <w:gridCol w:w="675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9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b/>
                <w:color w:val="auto"/>
                <w:kern w:val="0"/>
                <w:szCs w:val="21"/>
              </w:rPr>
            </w:pPr>
            <w:r>
              <w:rPr>
                <w:rFonts w:ascii="宋体" w:hAnsi="宋体"/>
                <w:b/>
                <w:color w:val="auto"/>
                <w:kern w:val="0"/>
                <w:szCs w:val="21"/>
              </w:rPr>
              <w:t>级别</w:t>
            </w:r>
          </w:p>
        </w:tc>
        <w:tc>
          <w:tcPr>
            <w:tcW w:w="142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b/>
                <w:color w:val="auto"/>
                <w:kern w:val="0"/>
                <w:szCs w:val="21"/>
              </w:rPr>
            </w:pPr>
            <w:r>
              <w:rPr>
                <w:rFonts w:ascii="宋体" w:hAnsi="宋体"/>
                <w:b/>
                <w:color w:val="auto"/>
                <w:kern w:val="0"/>
                <w:szCs w:val="21"/>
              </w:rPr>
              <w:t>危险程度</w:t>
            </w:r>
          </w:p>
        </w:tc>
        <w:tc>
          <w:tcPr>
            <w:tcW w:w="6759"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b/>
                <w:color w:val="auto"/>
                <w:kern w:val="0"/>
                <w:szCs w:val="21"/>
              </w:rPr>
            </w:pPr>
            <w:r>
              <w:rPr>
                <w:rFonts w:ascii="宋体" w:hAnsi="宋体"/>
                <w:b/>
                <w:color w:val="auto"/>
                <w:kern w:val="0"/>
                <w:szCs w:val="21"/>
              </w:rPr>
              <w:t>可能导致的后果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9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olor w:val="auto"/>
                <w:kern w:val="0"/>
                <w:szCs w:val="21"/>
              </w:rPr>
            </w:pPr>
            <w:r>
              <w:rPr>
                <w:rFonts w:ascii="宋体" w:hAnsi="宋体"/>
                <w:color w:val="auto"/>
                <w:kern w:val="0"/>
                <w:szCs w:val="21"/>
              </w:rPr>
              <w:t>Ⅰ</w:t>
            </w:r>
          </w:p>
        </w:tc>
        <w:tc>
          <w:tcPr>
            <w:tcW w:w="142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olor w:val="auto"/>
                <w:kern w:val="0"/>
                <w:szCs w:val="21"/>
              </w:rPr>
            </w:pPr>
            <w:r>
              <w:rPr>
                <w:rFonts w:ascii="宋体" w:hAnsi="宋体"/>
                <w:color w:val="auto"/>
                <w:kern w:val="0"/>
                <w:szCs w:val="21"/>
              </w:rPr>
              <w:t>安全的</w:t>
            </w:r>
          </w:p>
        </w:tc>
        <w:tc>
          <w:tcPr>
            <w:tcW w:w="6759"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olor w:val="auto"/>
                <w:kern w:val="0"/>
                <w:szCs w:val="21"/>
              </w:rPr>
            </w:pPr>
            <w:r>
              <w:rPr>
                <w:rFonts w:ascii="宋体" w:hAnsi="宋体"/>
                <w:color w:val="auto"/>
                <w:kern w:val="0"/>
                <w:szCs w:val="21"/>
              </w:rPr>
              <w:t>不会造成人员伤亡及系统损坏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71" w:hRule="atLeast"/>
          <w:jc w:val="center"/>
        </w:trPr>
        <w:tc>
          <w:tcPr>
            <w:tcW w:w="9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olor w:val="auto"/>
                <w:kern w:val="0"/>
                <w:szCs w:val="21"/>
              </w:rPr>
            </w:pPr>
            <w:r>
              <w:rPr>
                <w:rFonts w:ascii="宋体" w:hAnsi="宋体"/>
                <w:color w:val="auto"/>
                <w:kern w:val="0"/>
                <w:szCs w:val="21"/>
              </w:rPr>
              <w:t>Ⅱ</w:t>
            </w:r>
          </w:p>
        </w:tc>
        <w:tc>
          <w:tcPr>
            <w:tcW w:w="142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olor w:val="auto"/>
                <w:kern w:val="0"/>
                <w:szCs w:val="21"/>
              </w:rPr>
            </w:pPr>
            <w:r>
              <w:rPr>
                <w:rFonts w:ascii="宋体" w:hAnsi="宋体"/>
                <w:color w:val="auto"/>
                <w:kern w:val="0"/>
                <w:szCs w:val="21"/>
              </w:rPr>
              <w:t>临界的</w:t>
            </w:r>
          </w:p>
        </w:tc>
        <w:tc>
          <w:tcPr>
            <w:tcW w:w="6759"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olor w:val="auto"/>
                <w:kern w:val="0"/>
                <w:szCs w:val="21"/>
              </w:rPr>
            </w:pPr>
            <w:r>
              <w:rPr>
                <w:rFonts w:ascii="宋体" w:hAnsi="宋体"/>
                <w:color w:val="auto"/>
                <w:kern w:val="0"/>
                <w:szCs w:val="21"/>
              </w:rPr>
              <w:t>处于事故的边缘状态，暂时还不至于造成人员伤亡、系统损坏或降低系统性能，但应予以排除或采取控制措施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6" w:hRule="atLeast"/>
          <w:jc w:val="center"/>
        </w:trPr>
        <w:tc>
          <w:tcPr>
            <w:tcW w:w="9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olor w:val="auto"/>
                <w:kern w:val="0"/>
                <w:szCs w:val="21"/>
              </w:rPr>
            </w:pPr>
            <w:r>
              <w:rPr>
                <w:rFonts w:ascii="宋体" w:hAnsi="宋体"/>
                <w:color w:val="auto"/>
                <w:kern w:val="0"/>
                <w:szCs w:val="21"/>
              </w:rPr>
              <w:t>Ⅲ</w:t>
            </w:r>
          </w:p>
        </w:tc>
        <w:tc>
          <w:tcPr>
            <w:tcW w:w="142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olor w:val="auto"/>
                <w:kern w:val="0"/>
                <w:szCs w:val="21"/>
              </w:rPr>
            </w:pPr>
            <w:r>
              <w:rPr>
                <w:rFonts w:ascii="宋体" w:hAnsi="宋体"/>
                <w:color w:val="auto"/>
                <w:kern w:val="0"/>
                <w:szCs w:val="21"/>
              </w:rPr>
              <w:t>危险的</w:t>
            </w:r>
          </w:p>
        </w:tc>
        <w:tc>
          <w:tcPr>
            <w:tcW w:w="6759"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olor w:val="auto"/>
                <w:kern w:val="0"/>
                <w:szCs w:val="21"/>
              </w:rPr>
            </w:pPr>
            <w:r>
              <w:rPr>
                <w:rFonts w:ascii="宋体" w:hAnsi="宋体"/>
                <w:color w:val="auto"/>
                <w:kern w:val="0"/>
                <w:szCs w:val="21"/>
              </w:rPr>
              <w:t>会造成人员伤亡和系统损坏，要立即采取防范对策措施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85" w:hRule="atLeast"/>
          <w:jc w:val="center"/>
        </w:trPr>
        <w:tc>
          <w:tcPr>
            <w:tcW w:w="997"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olor w:val="auto"/>
                <w:kern w:val="0"/>
                <w:szCs w:val="21"/>
              </w:rPr>
            </w:pPr>
            <w:r>
              <w:rPr>
                <w:rFonts w:ascii="宋体" w:hAnsi="宋体"/>
                <w:color w:val="auto"/>
                <w:kern w:val="0"/>
                <w:szCs w:val="21"/>
              </w:rPr>
              <w:t>Ⅳ</w:t>
            </w:r>
          </w:p>
        </w:tc>
        <w:tc>
          <w:tcPr>
            <w:tcW w:w="1422"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olor w:val="auto"/>
                <w:kern w:val="0"/>
                <w:szCs w:val="21"/>
              </w:rPr>
            </w:pPr>
            <w:r>
              <w:rPr>
                <w:rFonts w:ascii="宋体" w:hAnsi="宋体"/>
                <w:color w:val="auto"/>
                <w:kern w:val="0"/>
                <w:szCs w:val="21"/>
              </w:rPr>
              <w:t>灾难性的</w:t>
            </w:r>
          </w:p>
        </w:tc>
        <w:tc>
          <w:tcPr>
            <w:tcW w:w="6759" w:type="dxa"/>
            <w:tcBorders>
              <w:top w:val="single" w:color="auto" w:sz="4" w:space="0"/>
              <w:left w:val="single" w:color="auto" w:sz="4" w:space="0"/>
              <w:bottom w:val="single" w:color="auto" w:sz="4" w:space="0"/>
              <w:right w:val="single" w:color="auto" w:sz="4" w:space="0"/>
            </w:tcBorders>
            <w:vAlign w:val="center"/>
          </w:tcPr>
          <w:p>
            <w:pPr>
              <w:widowControl/>
              <w:rPr>
                <w:rFonts w:ascii="宋体" w:hAnsi="宋体"/>
                <w:color w:val="auto"/>
                <w:kern w:val="0"/>
                <w:szCs w:val="21"/>
              </w:rPr>
            </w:pPr>
            <w:r>
              <w:rPr>
                <w:rFonts w:ascii="宋体" w:hAnsi="宋体"/>
                <w:color w:val="auto"/>
                <w:kern w:val="0"/>
                <w:szCs w:val="21"/>
              </w:rPr>
              <w:t>造成人员重大伤亡及系统严重破坏的灾难性事故，必须立即停产予以果断排除并进行重点防范</w:t>
            </w:r>
          </w:p>
        </w:tc>
      </w:tr>
    </w:tbl>
    <w:p>
      <w:pPr>
        <w:widowControl/>
        <w:spacing w:line="500" w:lineRule="exact"/>
        <w:ind w:firstLine="482" w:firstLineChars="200"/>
        <w:rPr>
          <w:rFonts w:ascii="宋体" w:hAnsi="宋体"/>
          <w:b/>
          <w:color w:val="auto"/>
          <w:kern w:val="24"/>
          <w:sz w:val="24"/>
        </w:rPr>
      </w:pPr>
      <w:r>
        <w:rPr>
          <w:rFonts w:ascii="宋体" w:hAnsi="宋体"/>
          <w:b/>
          <w:color w:val="auto"/>
          <w:kern w:val="24"/>
          <w:sz w:val="24"/>
        </w:rPr>
        <w:t>2）安全检查表分析法</w:t>
      </w:r>
    </w:p>
    <w:p>
      <w:pPr>
        <w:widowControl/>
        <w:spacing w:line="500" w:lineRule="exact"/>
        <w:ind w:firstLine="480" w:firstLineChars="200"/>
        <w:rPr>
          <w:rFonts w:ascii="宋体" w:hAnsi="宋体"/>
          <w:color w:val="auto"/>
          <w:kern w:val="24"/>
          <w:sz w:val="24"/>
        </w:rPr>
      </w:pPr>
      <w:r>
        <w:rPr>
          <w:rFonts w:ascii="宋体" w:hAnsi="宋体"/>
          <w:color w:val="auto"/>
          <w:kern w:val="24"/>
          <w:sz w:val="24"/>
        </w:rPr>
        <w:t>安全检查表分析（简称SCA）是将一系列分析项目列出检查表进行分析以确定系统的状态，这些项目包括设备、贮运、操作、管理等各个方面。该法按事先根据标准编制的检查表逐项对评价对象进行检查，直观、现实，能发现存在的各种安全隐患，从而促使人们采取有效措施，防止事故发生。安全检查表分析的弹性很大，既可用于简单的快速分析，也可用于更深层次的分析，它是识别已知危险的有效方法。</w:t>
      </w:r>
    </w:p>
    <w:p>
      <w:pPr>
        <w:widowControl/>
        <w:spacing w:line="500" w:lineRule="exact"/>
        <w:ind w:firstLine="482" w:firstLineChars="200"/>
        <w:rPr>
          <w:rFonts w:ascii="宋体" w:hAnsi="宋体"/>
          <w:b/>
          <w:color w:val="auto"/>
          <w:kern w:val="24"/>
          <w:sz w:val="24"/>
        </w:rPr>
      </w:pPr>
      <w:r>
        <w:rPr>
          <w:rFonts w:ascii="宋体" w:hAnsi="宋体"/>
          <w:b/>
          <w:color w:val="auto"/>
          <w:kern w:val="24"/>
          <w:sz w:val="24"/>
        </w:rPr>
        <w:t>3）安全检查法</w:t>
      </w:r>
    </w:p>
    <w:p>
      <w:pPr>
        <w:widowControl/>
        <w:spacing w:line="500" w:lineRule="exact"/>
        <w:ind w:firstLine="480" w:firstLineChars="200"/>
        <w:rPr>
          <w:rFonts w:ascii="宋体" w:hAnsi="宋体"/>
          <w:color w:val="auto"/>
          <w:kern w:val="24"/>
          <w:sz w:val="24"/>
        </w:rPr>
      </w:pPr>
      <w:r>
        <w:rPr>
          <w:rFonts w:ascii="宋体" w:hAnsi="宋体"/>
          <w:color w:val="auto"/>
          <w:kern w:val="24"/>
          <w:sz w:val="24"/>
        </w:rPr>
        <w:t>是对工程、系统的设计、装置条件、操作和维修条件等进行详细检查以识别所存在的危险，它可用于建设项目的任何阶段，也可称作工艺安全审查或设计审查。</w:t>
      </w:r>
    </w:p>
    <w:p>
      <w:pPr>
        <w:widowControl/>
        <w:spacing w:line="500" w:lineRule="exact"/>
        <w:ind w:firstLine="482" w:firstLineChars="200"/>
        <w:rPr>
          <w:rFonts w:ascii="宋体" w:hAnsi="宋体"/>
          <w:b/>
          <w:color w:val="auto"/>
          <w:kern w:val="24"/>
          <w:sz w:val="24"/>
        </w:rPr>
      </w:pPr>
      <w:r>
        <w:rPr>
          <w:rFonts w:hint="eastAsia" w:ascii="宋体" w:hAnsi="宋体"/>
          <w:b/>
          <w:color w:val="auto"/>
          <w:kern w:val="24"/>
          <w:sz w:val="24"/>
        </w:rPr>
        <w:t>4）定量计算法</w:t>
      </w:r>
    </w:p>
    <w:p>
      <w:pPr>
        <w:widowControl/>
        <w:spacing w:line="500" w:lineRule="exact"/>
        <w:ind w:firstLine="480" w:firstLineChars="200"/>
        <w:rPr>
          <w:rFonts w:ascii="宋体" w:hAnsi="宋体"/>
          <w:color w:val="auto"/>
          <w:kern w:val="24"/>
          <w:sz w:val="24"/>
        </w:rPr>
      </w:pPr>
      <w:r>
        <w:rPr>
          <w:rFonts w:hint="eastAsia" w:ascii="宋体" w:hAnsi="宋体"/>
          <w:color w:val="auto"/>
          <w:kern w:val="24"/>
          <w:sz w:val="24"/>
        </w:rPr>
        <w:t>（</w:t>
      </w:r>
      <w:r>
        <w:rPr>
          <w:rFonts w:ascii="宋体" w:hAnsi="宋体"/>
          <w:color w:val="auto"/>
          <w:kern w:val="24"/>
          <w:sz w:val="24"/>
        </w:rPr>
        <w:t>1</w:t>
      </w:r>
      <w:r>
        <w:rPr>
          <w:rFonts w:hint="eastAsia" w:ascii="宋体" w:hAnsi="宋体"/>
          <w:color w:val="auto"/>
          <w:kern w:val="24"/>
          <w:sz w:val="24"/>
        </w:rPr>
        <w:t>）矿山防排水定量计算</w:t>
      </w:r>
    </w:p>
    <w:p>
      <w:pPr>
        <w:widowControl/>
        <w:spacing w:line="500" w:lineRule="exact"/>
        <w:ind w:firstLine="480" w:firstLineChars="200"/>
        <w:rPr>
          <w:rFonts w:ascii="宋体" w:hAnsi="宋体"/>
          <w:color w:val="auto"/>
          <w:kern w:val="24"/>
          <w:sz w:val="24"/>
        </w:rPr>
      </w:pPr>
    </w:p>
    <w:p>
      <w:pPr>
        <w:widowControl/>
        <w:rPr>
          <w:color w:val="auto"/>
        </w:rPr>
      </w:pPr>
    </w:p>
    <w:p>
      <w:pPr>
        <w:pStyle w:val="4"/>
        <w:keepLines w:val="0"/>
        <w:widowControl/>
        <w:spacing w:before="120" w:after="120" w:line="500" w:lineRule="exact"/>
        <w:rPr>
          <w:rFonts w:ascii="宋体" w:hAnsi="宋体" w:eastAsia="宋体"/>
          <w:b/>
          <w:bCs w:val="0"/>
          <w:color w:val="auto"/>
          <w:kern w:val="28"/>
          <w:sz w:val="28"/>
          <w:szCs w:val="28"/>
        </w:rPr>
        <w:sectPr>
          <w:pgSz w:w="11906" w:h="16838"/>
          <w:pgMar w:top="1134" w:right="1134" w:bottom="1418" w:left="1588" w:header="851" w:footer="992" w:gutter="0"/>
          <w:pgBorders>
            <w:top w:val="none" w:sz="0" w:space="0"/>
            <w:left w:val="none" w:sz="0" w:space="0"/>
            <w:bottom w:val="none" w:sz="0" w:space="0"/>
            <w:right w:val="none" w:sz="0" w:space="0"/>
          </w:pgBorders>
          <w:pgNumType w:fmt="decimal"/>
          <w:cols w:space="720" w:num="1"/>
          <w:docGrid w:linePitch="312" w:charSpace="0"/>
        </w:sectPr>
      </w:pPr>
      <w:bookmarkStart w:id="183" w:name="_Toc21511322"/>
    </w:p>
    <w:p>
      <w:pPr>
        <w:pStyle w:val="4"/>
        <w:keepLines w:val="0"/>
        <w:widowControl/>
        <w:spacing w:before="120" w:after="120" w:line="500" w:lineRule="exact"/>
        <w:rPr>
          <w:rFonts w:ascii="宋体" w:hAnsi="宋体" w:eastAsia="宋体"/>
          <w:b/>
          <w:bCs w:val="0"/>
          <w:color w:val="auto"/>
          <w:kern w:val="28"/>
          <w:sz w:val="28"/>
          <w:szCs w:val="28"/>
        </w:rPr>
      </w:pPr>
      <w:bookmarkStart w:id="184" w:name="_Toc150262776"/>
      <w:r>
        <w:rPr>
          <w:rFonts w:hint="eastAsia" w:ascii="宋体" w:hAnsi="宋体" w:eastAsia="宋体"/>
          <w:b/>
          <w:bCs w:val="0"/>
          <w:color w:val="auto"/>
          <w:kern w:val="28"/>
          <w:sz w:val="28"/>
          <w:szCs w:val="28"/>
        </w:rPr>
        <w:t>3.</w:t>
      </w:r>
      <w:r>
        <w:rPr>
          <w:rFonts w:ascii="宋体" w:hAnsi="宋体" w:eastAsia="宋体"/>
          <w:b/>
          <w:bCs w:val="0"/>
          <w:color w:val="auto"/>
          <w:kern w:val="28"/>
          <w:sz w:val="28"/>
          <w:szCs w:val="28"/>
        </w:rPr>
        <w:t>2</w:t>
      </w:r>
      <w:r>
        <w:rPr>
          <w:rFonts w:hint="eastAsia" w:ascii="宋体" w:hAnsi="宋体" w:eastAsia="宋体"/>
          <w:b/>
          <w:bCs w:val="0"/>
          <w:color w:val="auto"/>
          <w:kern w:val="28"/>
          <w:sz w:val="28"/>
          <w:szCs w:val="28"/>
        </w:rPr>
        <w:t>总平面布置单元评价</w:t>
      </w:r>
      <w:bookmarkEnd w:id="183"/>
      <w:bookmarkEnd w:id="184"/>
    </w:p>
    <w:p>
      <w:pPr>
        <w:widowControl/>
        <w:spacing w:line="500" w:lineRule="exact"/>
        <w:jc w:val="center"/>
        <w:outlineLvl w:val="4"/>
        <w:rPr>
          <w:rFonts w:ascii="宋体" w:hAnsi="宋体"/>
          <w:b/>
          <w:color w:val="auto"/>
          <w:sz w:val="24"/>
        </w:rPr>
      </w:pPr>
      <w:r>
        <w:rPr>
          <w:rFonts w:hint="eastAsia" w:ascii="宋体" w:hAnsi="宋体"/>
          <w:b/>
          <w:color w:val="auto"/>
          <w:sz w:val="24"/>
        </w:rPr>
        <w:t>表</w:t>
      </w:r>
      <w:r>
        <w:rPr>
          <w:rFonts w:ascii="宋体" w:hAnsi="宋体"/>
          <w:b/>
          <w:color w:val="auto"/>
          <w:sz w:val="24"/>
        </w:rPr>
        <w:t>3</w:t>
      </w:r>
      <w:r>
        <w:rPr>
          <w:rFonts w:hint="eastAsia" w:ascii="宋体" w:hAnsi="宋体"/>
          <w:b/>
          <w:color w:val="auto"/>
          <w:sz w:val="24"/>
        </w:rPr>
        <w:t>-</w:t>
      </w:r>
      <w:r>
        <w:rPr>
          <w:rFonts w:ascii="宋体" w:hAnsi="宋体"/>
          <w:b/>
          <w:color w:val="auto"/>
          <w:sz w:val="24"/>
        </w:rPr>
        <w:t xml:space="preserve">2 </w:t>
      </w:r>
      <w:r>
        <w:rPr>
          <w:rFonts w:hint="eastAsia" w:ascii="宋体" w:hAnsi="宋体"/>
          <w:b/>
          <w:color w:val="auto"/>
          <w:sz w:val="24"/>
        </w:rPr>
        <w:t>总平面布置分析评价</w:t>
      </w:r>
    </w:p>
    <w:tbl>
      <w:tblPr>
        <w:tblStyle w:val="41"/>
        <w:tblW w:w="139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9"/>
        <w:gridCol w:w="763"/>
        <w:gridCol w:w="5115"/>
        <w:gridCol w:w="2134"/>
        <w:gridCol w:w="846"/>
        <w:gridCol w:w="429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atLeast"/>
          <w:tblHeader/>
          <w:jc w:val="center"/>
        </w:trPr>
        <w:tc>
          <w:tcPr>
            <w:tcW w:w="789" w:type="dxa"/>
            <w:vAlign w:val="center"/>
          </w:tcPr>
          <w:p>
            <w:pPr>
              <w:widowControl/>
              <w:jc w:val="center"/>
              <w:rPr>
                <w:rFonts w:ascii="宋体" w:hAnsi="宋体"/>
                <w:b/>
                <w:bCs/>
                <w:color w:val="auto"/>
                <w:szCs w:val="21"/>
              </w:rPr>
            </w:pPr>
            <w:r>
              <w:rPr>
                <w:rFonts w:hint="eastAsia" w:ascii="宋体" w:hAnsi="宋体"/>
                <w:b/>
                <w:bCs/>
                <w:color w:val="auto"/>
                <w:szCs w:val="21"/>
              </w:rPr>
              <w:t>序号</w:t>
            </w:r>
          </w:p>
        </w:tc>
        <w:tc>
          <w:tcPr>
            <w:tcW w:w="763" w:type="dxa"/>
            <w:vAlign w:val="center"/>
          </w:tcPr>
          <w:p>
            <w:pPr>
              <w:widowControl/>
              <w:jc w:val="center"/>
              <w:rPr>
                <w:rFonts w:ascii="宋体" w:hAnsi="宋体"/>
                <w:b/>
                <w:bCs/>
                <w:color w:val="auto"/>
                <w:szCs w:val="21"/>
              </w:rPr>
            </w:pPr>
            <w:r>
              <w:rPr>
                <w:rFonts w:hint="eastAsia" w:ascii="宋体" w:hAnsi="宋体"/>
                <w:b/>
                <w:bCs/>
                <w:color w:val="auto"/>
                <w:szCs w:val="21"/>
              </w:rPr>
              <w:t>检查项目</w:t>
            </w:r>
          </w:p>
        </w:tc>
        <w:tc>
          <w:tcPr>
            <w:tcW w:w="5115" w:type="dxa"/>
            <w:vAlign w:val="center"/>
          </w:tcPr>
          <w:p>
            <w:pPr>
              <w:widowControl/>
              <w:jc w:val="center"/>
              <w:rPr>
                <w:rFonts w:ascii="宋体" w:hAnsi="宋体"/>
                <w:b/>
                <w:bCs/>
                <w:color w:val="auto"/>
                <w:szCs w:val="21"/>
              </w:rPr>
            </w:pPr>
            <w:r>
              <w:rPr>
                <w:rFonts w:hint="eastAsia" w:ascii="宋体" w:hAnsi="宋体"/>
                <w:b/>
                <w:bCs/>
                <w:color w:val="auto"/>
                <w:szCs w:val="21"/>
              </w:rPr>
              <w:t>检查内容</w:t>
            </w:r>
          </w:p>
        </w:tc>
        <w:tc>
          <w:tcPr>
            <w:tcW w:w="2134" w:type="dxa"/>
            <w:vAlign w:val="center"/>
          </w:tcPr>
          <w:p>
            <w:pPr>
              <w:widowControl/>
              <w:jc w:val="center"/>
              <w:rPr>
                <w:rFonts w:ascii="宋体" w:hAnsi="宋体"/>
                <w:b/>
                <w:bCs/>
                <w:color w:val="auto"/>
                <w:szCs w:val="21"/>
              </w:rPr>
            </w:pPr>
            <w:r>
              <w:rPr>
                <w:rFonts w:hint="eastAsia" w:ascii="宋体" w:hAnsi="宋体"/>
                <w:b/>
                <w:bCs/>
                <w:color w:val="auto"/>
                <w:szCs w:val="21"/>
              </w:rPr>
              <w:t>依据标准</w:t>
            </w:r>
          </w:p>
        </w:tc>
        <w:tc>
          <w:tcPr>
            <w:tcW w:w="846" w:type="dxa"/>
            <w:vAlign w:val="center"/>
          </w:tcPr>
          <w:p>
            <w:pPr>
              <w:widowControl/>
              <w:jc w:val="center"/>
              <w:rPr>
                <w:rFonts w:ascii="宋体" w:hAnsi="宋体"/>
                <w:b/>
                <w:bCs/>
                <w:color w:val="auto"/>
                <w:szCs w:val="21"/>
              </w:rPr>
            </w:pPr>
            <w:r>
              <w:rPr>
                <w:rFonts w:hint="eastAsia" w:ascii="宋体" w:hAnsi="宋体"/>
                <w:b/>
                <w:bCs/>
                <w:color w:val="auto"/>
                <w:szCs w:val="21"/>
              </w:rPr>
              <w:t>检查</w:t>
            </w:r>
          </w:p>
          <w:p>
            <w:pPr>
              <w:widowControl/>
              <w:jc w:val="center"/>
              <w:rPr>
                <w:rFonts w:ascii="宋体" w:hAnsi="宋体"/>
                <w:b/>
                <w:bCs/>
                <w:color w:val="auto"/>
                <w:szCs w:val="21"/>
              </w:rPr>
            </w:pPr>
            <w:r>
              <w:rPr>
                <w:rFonts w:hint="eastAsia" w:ascii="宋体" w:hAnsi="宋体"/>
                <w:b/>
                <w:bCs/>
                <w:color w:val="auto"/>
                <w:szCs w:val="21"/>
              </w:rPr>
              <w:t>结果</w:t>
            </w:r>
          </w:p>
        </w:tc>
        <w:tc>
          <w:tcPr>
            <w:tcW w:w="4290" w:type="dxa"/>
            <w:vAlign w:val="center"/>
          </w:tcPr>
          <w:p>
            <w:pPr>
              <w:widowControl/>
              <w:jc w:val="center"/>
              <w:rPr>
                <w:rFonts w:ascii="宋体" w:hAnsi="宋体"/>
                <w:b/>
                <w:bCs/>
                <w:color w:val="auto"/>
                <w:szCs w:val="21"/>
              </w:rPr>
            </w:pPr>
            <w:r>
              <w:rPr>
                <w:rFonts w:hint="eastAsia" w:ascii="宋体" w:hAnsi="宋体"/>
                <w:b/>
                <w:bCs/>
                <w:color w:val="auto"/>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 w:hRule="atLeast"/>
          <w:jc w:val="center"/>
        </w:trPr>
        <w:tc>
          <w:tcPr>
            <w:tcW w:w="789" w:type="dxa"/>
            <w:vMerge w:val="restart"/>
            <w:vAlign w:val="center"/>
          </w:tcPr>
          <w:p>
            <w:pPr>
              <w:widowControl/>
              <w:jc w:val="center"/>
              <w:rPr>
                <w:rFonts w:ascii="宋体" w:hAnsi="宋体"/>
                <w:bCs/>
                <w:color w:val="auto"/>
                <w:szCs w:val="21"/>
              </w:rPr>
            </w:pPr>
            <w:r>
              <w:rPr>
                <w:rFonts w:hint="eastAsia" w:ascii="宋体" w:hAnsi="宋体"/>
                <w:bCs/>
                <w:color w:val="auto"/>
                <w:szCs w:val="21"/>
              </w:rPr>
              <w:t>1</w:t>
            </w:r>
          </w:p>
        </w:tc>
        <w:tc>
          <w:tcPr>
            <w:tcW w:w="763" w:type="dxa"/>
            <w:vMerge w:val="restart"/>
            <w:vAlign w:val="center"/>
          </w:tcPr>
          <w:p>
            <w:pPr>
              <w:widowControl/>
              <w:jc w:val="center"/>
              <w:rPr>
                <w:rFonts w:ascii="宋体" w:hAnsi="宋体"/>
                <w:bCs/>
                <w:color w:val="auto"/>
                <w:szCs w:val="21"/>
              </w:rPr>
            </w:pPr>
            <w:r>
              <w:rPr>
                <w:rFonts w:hint="eastAsia" w:ascii="宋体" w:hAnsi="宋体"/>
                <w:bCs/>
                <w:color w:val="auto"/>
                <w:szCs w:val="21"/>
              </w:rPr>
              <w:t>矿区选址</w:t>
            </w:r>
          </w:p>
        </w:tc>
        <w:tc>
          <w:tcPr>
            <w:tcW w:w="5115" w:type="dxa"/>
            <w:vAlign w:val="center"/>
          </w:tcPr>
          <w:p>
            <w:pPr>
              <w:keepNext w:val="0"/>
              <w:keepLines w:val="0"/>
              <w:pageBreakBefore w:val="0"/>
              <w:widowControl/>
              <w:kinsoku/>
              <w:wordWrap/>
              <w:overflowPunct/>
              <w:topLinePunct w:val="0"/>
              <w:bidi w:val="0"/>
              <w:adjustRightInd/>
              <w:snapToGrid/>
              <w:spacing w:line="240" w:lineRule="exact"/>
              <w:textAlignment w:val="auto"/>
              <w:rPr>
                <w:rFonts w:ascii="宋体" w:hAnsi="宋体"/>
                <w:bCs/>
                <w:color w:val="auto"/>
                <w:szCs w:val="21"/>
              </w:rPr>
            </w:pPr>
            <w:r>
              <w:rPr>
                <w:rFonts w:hint="eastAsia" w:ascii="宋体" w:hAnsi="宋体" w:cs="Tahoma"/>
                <w:color w:val="auto"/>
                <w:szCs w:val="21"/>
              </w:rPr>
              <w:t>厂址应具有满足建设工程需要的工程地质条件和水文地质条件。</w:t>
            </w:r>
          </w:p>
        </w:tc>
        <w:tc>
          <w:tcPr>
            <w:tcW w:w="2134" w:type="dxa"/>
            <w:vAlign w:val="center"/>
          </w:tcPr>
          <w:p>
            <w:pPr>
              <w:keepNext w:val="0"/>
              <w:keepLines w:val="0"/>
              <w:pageBreakBefore w:val="0"/>
              <w:widowControl/>
              <w:kinsoku/>
              <w:wordWrap/>
              <w:overflowPunct/>
              <w:topLinePunct w:val="0"/>
              <w:bidi w:val="0"/>
              <w:adjustRightInd/>
              <w:snapToGrid/>
              <w:spacing w:line="240" w:lineRule="exact"/>
              <w:jc w:val="center"/>
              <w:textAlignment w:val="auto"/>
              <w:rPr>
                <w:rFonts w:ascii="宋体" w:hAnsi="宋体"/>
                <w:bCs/>
                <w:color w:val="auto"/>
                <w:szCs w:val="21"/>
              </w:rPr>
            </w:pPr>
            <w:r>
              <w:rPr>
                <w:rFonts w:hint="eastAsia" w:ascii="宋体" w:hAnsi="宋体"/>
                <w:bCs/>
                <w:color w:val="auto"/>
                <w:szCs w:val="21"/>
              </w:rPr>
              <w:t>《工业企业总平面设计规范》第3.0.8条</w:t>
            </w:r>
          </w:p>
        </w:tc>
        <w:tc>
          <w:tcPr>
            <w:tcW w:w="846" w:type="dxa"/>
            <w:vAlign w:val="center"/>
          </w:tcPr>
          <w:p>
            <w:pPr>
              <w:keepNext w:val="0"/>
              <w:keepLines w:val="0"/>
              <w:pageBreakBefore w:val="0"/>
              <w:widowControl/>
              <w:kinsoku/>
              <w:wordWrap/>
              <w:overflowPunct/>
              <w:topLinePunct w:val="0"/>
              <w:bidi w:val="0"/>
              <w:adjustRightInd/>
              <w:snapToGrid/>
              <w:spacing w:line="240" w:lineRule="exact"/>
              <w:jc w:val="center"/>
              <w:textAlignment w:val="auto"/>
              <w:rPr>
                <w:rFonts w:ascii="宋体" w:hAnsi="宋体"/>
                <w:bCs/>
                <w:color w:val="auto"/>
                <w:szCs w:val="21"/>
              </w:rPr>
            </w:pPr>
            <w:r>
              <w:rPr>
                <w:rFonts w:hint="eastAsia" w:ascii="宋体" w:hAnsi="宋体"/>
                <w:bCs/>
                <w:color w:val="auto"/>
                <w:szCs w:val="21"/>
              </w:rPr>
              <w:t>符合</w:t>
            </w:r>
          </w:p>
        </w:tc>
        <w:tc>
          <w:tcPr>
            <w:tcW w:w="4290" w:type="dxa"/>
            <w:vAlign w:val="center"/>
          </w:tcPr>
          <w:p>
            <w:pPr>
              <w:keepNext w:val="0"/>
              <w:keepLines w:val="0"/>
              <w:pageBreakBefore w:val="0"/>
              <w:widowControl/>
              <w:kinsoku/>
              <w:wordWrap/>
              <w:overflowPunct/>
              <w:topLinePunct w:val="0"/>
              <w:bidi w:val="0"/>
              <w:adjustRightInd/>
              <w:snapToGrid/>
              <w:spacing w:line="240" w:lineRule="exact"/>
              <w:textAlignment w:val="auto"/>
              <w:rPr>
                <w:rFonts w:ascii="宋体" w:hAnsi="宋体"/>
                <w:bCs/>
                <w:color w:val="auto"/>
                <w:szCs w:val="21"/>
              </w:rPr>
            </w:pPr>
            <w:r>
              <w:rPr>
                <w:rFonts w:hint="eastAsia" w:ascii="宋体" w:hAnsi="宋体"/>
                <w:bCs/>
                <w:color w:val="auto"/>
                <w:szCs w:val="21"/>
              </w:rPr>
              <w:t>根据矿山技术资料，矿区的水文地质、工程地质条件简单，适宜建矿。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2" w:hRule="atLeast"/>
          <w:jc w:val="center"/>
        </w:trPr>
        <w:tc>
          <w:tcPr>
            <w:tcW w:w="789" w:type="dxa"/>
            <w:vMerge w:val="continue"/>
            <w:vAlign w:val="center"/>
          </w:tcPr>
          <w:p>
            <w:pPr>
              <w:widowControl/>
              <w:jc w:val="center"/>
              <w:rPr>
                <w:rFonts w:ascii="宋体" w:hAnsi="宋体"/>
                <w:bCs/>
                <w:color w:val="auto"/>
                <w:szCs w:val="21"/>
              </w:rPr>
            </w:pPr>
          </w:p>
        </w:tc>
        <w:tc>
          <w:tcPr>
            <w:tcW w:w="763" w:type="dxa"/>
            <w:vMerge w:val="continue"/>
            <w:vAlign w:val="center"/>
          </w:tcPr>
          <w:p>
            <w:pPr>
              <w:widowControl/>
              <w:jc w:val="center"/>
              <w:rPr>
                <w:rFonts w:ascii="宋体" w:hAnsi="宋体"/>
                <w:bCs/>
                <w:color w:val="auto"/>
                <w:szCs w:val="21"/>
              </w:rPr>
            </w:pPr>
          </w:p>
        </w:tc>
        <w:tc>
          <w:tcPr>
            <w:tcW w:w="5115" w:type="dxa"/>
            <w:vAlign w:val="center"/>
          </w:tcPr>
          <w:p>
            <w:pPr>
              <w:keepNext w:val="0"/>
              <w:keepLines w:val="0"/>
              <w:pageBreakBefore w:val="0"/>
              <w:widowControl/>
              <w:kinsoku/>
              <w:wordWrap/>
              <w:overflowPunct/>
              <w:topLinePunct w:val="0"/>
              <w:bidi w:val="0"/>
              <w:adjustRightInd/>
              <w:snapToGrid/>
              <w:spacing w:line="240" w:lineRule="exact"/>
              <w:textAlignment w:val="auto"/>
              <w:rPr>
                <w:rFonts w:ascii="宋体" w:hAnsi="宋体"/>
                <w:color w:val="auto"/>
                <w:szCs w:val="21"/>
              </w:rPr>
            </w:pPr>
            <w:r>
              <w:rPr>
                <w:rFonts w:hint="eastAsia" w:ascii="宋体" w:hAnsi="宋体"/>
                <w:bCs/>
                <w:color w:val="auto"/>
                <w:szCs w:val="21"/>
              </w:rPr>
              <w:t>厂址应满足适宜的地形坡度，尽量避开自然地形复杂、自然坡度大的地段，应避免将盆地、积水洼地作为厂址。</w:t>
            </w:r>
          </w:p>
        </w:tc>
        <w:tc>
          <w:tcPr>
            <w:tcW w:w="2134" w:type="dxa"/>
            <w:vAlign w:val="center"/>
          </w:tcPr>
          <w:p>
            <w:pPr>
              <w:keepNext w:val="0"/>
              <w:keepLines w:val="0"/>
              <w:pageBreakBefore w:val="0"/>
              <w:widowControl/>
              <w:kinsoku/>
              <w:wordWrap/>
              <w:overflowPunct/>
              <w:topLinePunct w:val="0"/>
              <w:bidi w:val="0"/>
              <w:adjustRightInd/>
              <w:snapToGrid/>
              <w:spacing w:line="240" w:lineRule="exact"/>
              <w:jc w:val="center"/>
              <w:textAlignment w:val="auto"/>
              <w:rPr>
                <w:rFonts w:ascii="宋体" w:hAnsi="宋体"/>
                <w:bCs/>
                <w:color w:val="auto"/>
                <w:szCs w:val="21"/>
              </w:rPr>
            </w:pPr>
            <w:r>
              <w:rPr>
                <w:rFonts w:hint="eastAsia" w:ascii="宋体" w:hAnsi="宋体"/>
                <w:bCs/>
                <w:color w:val="auto"/>
                <w:szCs w:val="21"/>
              </w:rPr>
              <w:t>《工业企业总平面设计规范》第3.0.</w:t>
            </w:r>
            <w:r>
              <w:rPr>
                <w:rFonts w:ascii="宋体" w:hAnsi="宋体"/>
                <w:bCs/>
                <w:color w:val="auto"/>
                <w:szCs w:val="21"/>
              </w:rPr>
              <w:t>10</w:t>
            </w:r>
            <w:r>
              <w:rPr>
                <w:rFonts w:hint="eastAsia" w:ascii="宋体" w:hAnsi="宋体"/>
                <w:bCs/>
                <w:color w:val="auto"/>
                <w:szCs w:val="21"/>
              </w:rPr>
              <w:t>条</w:t>
            </w:r>
          </w:p>
        </w:tc>
        <w:tc>
          <w:tcPr>
            <w:tcW w:w="846" w:type="dxa"/>
            <w:vAlign w:val="center"/>
          </w:tcPr>
          <w:p>
            <w:pPr>
              <w:keepNext w:val="0"/>
              <w:keepLines w:val="0"/>
              <w:pageBreakBefore w:val="0"/>
              <w:widowControl/>
              <w:kinsoku/>
              <w:wordWrap/>
              <w:overflowPunct/>
              <w:topLinePunct w:val="0"/>
              <w:bidi w:val="0"/>
              <w:adjustRightInd/>
              <w:snapToGrid/>
              <w:spacing w:line="240" w:lineRule="exact"/>
              <w:jc w:val="center"/>
              <w:textAlignment w:val="auto"/>
              <w:rPr>
                <w:rFonts w:ascii="宋体" w:hAnsi="宋体"/>
                <w:bCs/>
                <w:color w:val="auto"/>
                <w:szCs w:val="21"/>
              </w:rPr>
            </w:pPr>
            <w:r>
              <w:rPr>
                <w:rFonts w:hint="eastAsia" w:ascii="宋体" w:hAnsi="宋体"/>
                <w:bCs/>
                <w:color w:val="auto"/>
                <w:szCs w:val="21"/>
              </w:rPr>
              <w:t>符合</w:t>
            </w:r>
          </w:p>
        </w:tc>
        <w:tc>
          <w:tcPr>
            <w:tcW w:w="4290" w:type="dxa"/>
            <w:vAlign w:val="center"/>
          </w:tcPr>
          <w:p>
            <w:pPr>
              <w:keepNext w:val="0"/>
              <w:keepLines w:val="0"/>
              <w:pageBreakBefore w:val="0"/>
              <w:widowControl/>
              <w:kinsoku/>
              <w:wordWrap/>
              <w:overflowPunct/>
              <w:topLinePunct w:val="0"/>
              <w:bidi w:val="0"/>
              <w:adjustRightInd/>
              <w:snapToGrid/>
              <w:spacing w:line="240" w:lineRule="exact"/>
              <w:textAlignment w:val="auto"/>
              <w:rPr>
                <w:rFonts w:ascii="宋体" w:hAnsi="宋体"/>
                <w:bCs/>
                <w:color w:val="auto"/>
                <w:szCs w:val="21"/>
              </w:rPr>
            </w:pPr>
            <w:r>
              <w:rPr>
                <w:rFonts w:hint="eastAsia" w:ascii="宋体" w:hAnsi="宋体"/>
                <w:bCs/>
                <w:color w:val="auto"/>
                <w:szCs w:val="21"/>
              </w:rPr>
              <w:t>矿区拟</w:t>
            </w:r>
            <w:r>
              <w:rPr>
                <w:rFonts w:ascii="宋体" w:hAnsi="宋体"/>
                <w:bCs/>
                <w:color w:val="auto"/>
                <w:szCs w:val="21"/>
              </w:rPr>
              <w:t>选用</w:t>
            </w:r>
            <w:r>
              <w:rPr>
                <w:rFonts w:hint="eastAsia" w:ascii="宋体" w:hAnsi="宋体"/>
                <w:bCs/>
                <w:color w:val="auto"/>
                <w:szCs w:val="21"/>
              </w:rPr>
              <w:t>位置满足适宜的地形坡度，周边无自然地形复杂、自然坡度大的地段，无盆地、积水洼地。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789" w:type="dxa"/>
            <w:vMerge w:val="continue"/>
            <w:vAlign w:val="center"/>
          </w:tcPr>
          <w:p>
            <w:pPr>
              <w:widowControl/>
              <w:jc w:val="center"/>
              <w:rPr>
                <w:rFonts w:ascii="宋体" w:hAnsi="宋体"/>
                <w:bCs/>
                <w:color w:val="auto"/>
                <w:szCs w:val="21"/>
              </w:rPr>
            </w:pPr>
          </w:p>
        </w:tc>
        <w:tc>
          <w:tcPr>
            <w:tcW w:w="763" w:type="dxa"/>
            <w:vMerge w:val="continue"/>
            <w:vAlign w:val="center"/>
          </w:tcPr>
          <w:p>
            <w:pPr>
              <w:widowControl/>
              <w:jc w:val="center"/>
              <w:rPr>
                <w:rFonts w:ascii="宋体" w:hAnsi="宋体"/>
                <w:bCs/>
                <w:color w:val="auto"/>
                <w:szCs w:val="21"/>
              </w:rPr>
            </w:pPr>
          </w:p>
        </w:tc>
        <w:tc>
          <w:tcPr>
            <w:tcW w:w="5115" w:type="dxa"/>
            <w:vAlign w:val="center"/>
          </w:tcPr>
          <w:p>
            <w:pPr>
              <w:keepNext w:val="0"/>
              <w:keepLines w:val="0"/>
              <w:pageBreakBefore w:val="0"/>
              <w:widowControl/>
              <w:kinsoku/>
              <w:wordWrap/>
              <w:overflowPunct/>
              <w:topLinePunct w:val="0"/>
              <w:bidi w:val="0"/>
              <w:adjustRightInd/>
              <w:snapToGrid/>
              <w:spacing w:line="240" w:lineRule="exact"/>
              <w:textAlignment w:val="auto"/>
              <w:rPr>
                <w:rFonts w:ascii="宋体" w:hAnsi="宋体" w:cs="Tahoma"/>
                <w:color w:val="auto"/>
                <w:szCs w:val="21"/>
              </w:rPr>
            </w:pPr>
            <w:r>
              <w:rPr>
                <w:rFonts w:hint="eastAsia" w:ascii="宋体" w:hAnsi="宋体" w:cs="Tahoma"/>
                <w:color w:val="auto"/>
                <w:szCs w:val="21"/>
              </w:rPr>
              <w:t>厂址应位于不受洪水、潮水或内涝威胁的地带，当不可避免时，必须具有可靠的防洪、排涝措施。</w:t>
            </w:r>
          </w:p>
        </w:tc>
        <w:tc>
          <w:tcPr>
            <w:tcW w:w="2134" w:type="dxa"/>
            <w:vAlign w:val="center"/>
          </w:tcPr>
          <w:p>
            <w:pPr>
              <w:keepNext w:val="0"/>
              <w:keepLines w:val="0"/>
              <w:pageBreakBefore w:val="0"/>
              <w:widowControl/>
              <w:kinsoku/>
              <w:wordWrap/>
              <w:overflowPunct/>
              <w:topLinePunct w:val="0"/>
              <w:bidi w:val="0"/>
              <w:adjustRightInd/>
              <w:snapToGrid/>
              <w:spacing w:line="240" w:lineRule="exact"/>
              <w:jc w:val="center"/>
              <w:textAlignment w:val="auto"/>
              <w:rPr>
                <w:rFonts w:ascii="宋体" w:hAnsi="宋体"/>
                <w:bCs/>
                <w:color w:val="auto"/>
                <w:szCs w:val="21"/>
              </w:rPr>
            </w:pPr>
            <w:r>
              <w:rPr>
                <w:rFonts w:hint="eastAsia" w:ascii="宋体" w:hAnsi="宋体"/>
                <w:bCs/>
                <w:color w:val="auto"/>
                <w:szCs w:val="21"/>
              </w:rPr>
              <w:t>《工业企业总平面设计规范》第3.0.12条</w:t>
            </w:r>
          </w:p>
        </w:tc>
        <w:tc>
          <w:tcPr>
            <w:tcW w:w="846" w:type="dxa"/>
            <w:vAlign w:val="center"/>
          </w:tcPr>
          <w:p>
            <w:pPr>
              <w:keepNext w:val="0"/>
              <w:keepLines w:val="0"/>
              <w:pageBreakBefore w:val="0"/>
              <w:widowControl/>
              <w:kinsoku/>
              <w:wordWrap/>
              <w:overflowPunct/>
              <w:topLinePunct w:val="0"/>
              <w:bidi w:val="0"/>
              <w:adjustRightInd/>
              <w:snapToGrid/>
              <w:spacing w:line="240" w:lineRule="exact"/>
              <w:jc w:val="center"/>
              <w:textAlignment w:val="auto"/>
              <w:rPr>
                <w:rFonts w:ascii="宋体" w:hAnsi="宋体"/>
                <w:bCs/>
                <w:color w:val="auto"/>
                <w:szCs w:val="21"/>
              </w:rPr>
            </w:pPr>
            <w:r>
              <w:rPr>
                <w:rFonts w:hint="eastAsia" w:ascii="宋体" w:hAnsi="宋体"/>
                <w:bCs/>
                <w:color w:val="auto"/>
                <w:szCs w:val="21"/>
              </w:rPr>
              <w:t>符合</w:t>
            </w:r>
          </w:p>
        </w:tc>
        <w:tc>
          <w:tcPr>
            <w:tcW w:w="4290" w:type="dxa"/>
            <w:vAlign w:val="center"/>
          </w:tcPr>
          <w:p>
            <w:pPr>
              <w:keepNext w:val="0"/>
              <w:keepLines w:val="0"/>
              <w:pageBreakBefore w:val="0"/>
              <w:widowControl/>
              <w:kinsoku/>
              <w:wordWrap/>
              <w:overflowPunct/>
              <w:topLinePunct w:val="0"/>
              <w:bidi w:val="0"/>
              <w:adjustRightInd/>
              <w:snapToGrid/>
              <w:spacing w:line="240" w:lineRule="exact"/>
              <w:textAlignment w:val="auto"/>
              <w:rPr>
                <w:rFonts w:ascii="宋体" w:hAnsi="宋体"/>
                <w:bCs/>
                <w:color w:val="auto"/>
                <w:szCs w:val="21"/>
              </w:rPr>
            </w:pPr>
            <w:r>
              <w:rPr>
                <w:rFonts w:hint="eastAsia" w:ascii="宋体" w:hAnsi="宋体"/>
                <w:bCs/>
                <w:color w:val="auto"/>
                <w:szCs w:val="21"/>
              </w:rPr>
              <w:t>根据矿山技术资料，矿区的位置</w:t>
            </w:r>
            <w:r>
              <w:rPr>
                <w:rFonts w:hint="eastAsia" w:ascii="宋体" w:hAnsi="宋体" w:cs="Tahoma"/>
                <w:color w:val="auto"/>
                <w:szCs w:val="21"/>
              </w:rPr>
              <w:t>不受洪水、潮水或内涝威胁。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66" w:hRule="atLeast"/>
          <w:jc w:val="center"/>
        </w:trPr>
        <w:tc>
          <w:tcPr>
            <w:tcW w:w="789" w:type="dxa"/>
            <w:vMerge w:val="continue"/>
            <w:vAlign w:val="center"/>
          </w:tcPr>
          <w:p>
            <w:pPr>
              <w:widowControl/>
              <w:jc w:val="center"/>
              <w:rPr>
                <w:rFonts w:ascii="宋体" w:hAnsi="宋体"/>
                <w:bCs/>
                <w:color w:val="auto"/>
                <w:szCs w:val="21"/>
              </w:rPr>
            </w:pPr>
          </w:p>
        </w:tc>
        <w:tc>
          <w:tcPr>
            <w:tcW w:w="763" w:type="dxa"/>
            <w:vMerge w:val="continue"/>
            <w:vAlign w:val="center"/>
          </w:tcPr>
          <w:p>
            <w:pPr>
              <w:widowControl/>
              <w:jc w:val="center"/>
              <w:rPr>
                <w:rFonts w:ascii="宋体" w:hAnsi="宋体" w:cs="Tahoma"/>
                <w:color w:val="auto"/>
                <w:szCs w:val="21"/>
              </w:rPr>
            </w:pPr>
          </w:p>
        </w:tc>
        <w:tc>
          <w:tcPr>
            <w:tcW w:w="5115" w:type="dxa"/>
            <w:vAlign w:val="center"/>
          </w:tcPr>
          <w:p>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bCs/>
                <w:color w:val="auto"/>
                <w:szCs w:val="21"/>
              </w:rPr>
            </w:pPr>
            <w:r>
              <w:rPr>
                <w:rFonts w:hint="eastAsia" w:ascii="宋体" w:hAnsi="宋体"/>
                <w:bCs/>
                <w:color w:val="auto"/>
                <w:szCs w:val="21"/>
              </w:rPr>
              <w:t>下列地段和地区不应选为厂址：</w:t>
            </w:r>
            <w:r>
              <w:rPr>
                <w:rFonts w:ascii="宋体" w:hAnsi="宋体"/>
                <w:bCs/>
                <w:color w:val="auto"/>
                <w:szCs w:val="21"/>
              </w:rPr>
              <w:t>1</w:t>
            </w:r>
            <w:r>
              <w:rPr>
                <w:rFonts w:hint="eastAsia" w:ascii="宋体" w:hAnsi="宋体"/>
                <w:bCs/>
                <w:color w:val="auto"/>
                <w:szCs w:val="21"/>
              </w:rPr>
              <w:t>.发震断层和抗震设防烈度为</w:t>
            </w:r>
            <w:r>
              <w:rPr>
                <w:rFonts w:ascii="宋体" w:hAnsi="宋体"/>
                <w:bCs/>
                <w:color w:val="auto"/>
                <w:szCs w:val="21"/>
              </w:rPr>
              <w:t>9</w:t>
            </w:r>
            <w:r>
              <w:rPr>
                <w:rFonts w:hint="eastAsia" w:ascii="宋体" w:hAnsi="宋体"/>
                <w:bCs/>
                <w:color w:val="auto"/>
                <w:szCs w:val="21"/>
              </w:rPr>
              <w:t>度及高于</w:t>
            </w:r>
            <w:r>
              <w:rPr>
                <w:rFonts w:ascii="宋体" w:hAnsi="宋体"/>
                <w:bCs/>
                <w:color w:val="auto"/>
                <w:szCs w:val="21"/>
              </w:rPr>
              <w:t>9</w:t>
            </w:r>
            <w:r>
              <w:rPr>
                <w:rFonts w:hint="eastAsia" w:ascii="宋体" w:hAnsi="宋体"/>
                <w:bCs/>
                <w:color w:val="auto"/>
                <w:szCs w:val="21"/>
              </w:rPr>
              <w:t>度的地震区；</w:t>
            </w:r>
            <w:r>
              <w:rPr>
                <w:rFonts w:ascii="宋体" w:hAnsi="宋体"/>
                <w:bCs/>
                <w:color w:val="auto"/>
                <w:szCs w:val="21"/>
              </w:rPr>
              <w:t>2</w:t>
            </w:r>
            <w:r>
              <w:rPr>
                <w:rFonts w:hint="eastAsia" w:ascii="宋体" w:hAnsi="宋体"/>
                <w:bCs/>
                <w:color w:val="auto"/>
                <w:szCs w:val="21"/>
              </w:rPr>
              <w:t>.有泥石流、滑坡、流沙、溶洞等直接危害的地段；</w:t>
            </w:r>
            <w:r>
              <w:rPr>
                <w:rFonts w:ascii="宋体" w:hAnsi="宋体"/>
                <w:bCs/>
                <w:color w:val="auto"/>
                <w:szCs w:val="21"/>
              </w:rPr>
              <w:t>3</w:t>
            </w:r>
            <w:r>
              <w:rPr>
                <w:rFonts w:hint="eastAsia" w:ascii="宋体" w:hAnsi="宋体"/>
                <w:bCs/>
                <w:color w:val="auto"/>
                <w:szCs w:val="21"/>
              </w:rPr>
              <w:t>.采矿陷落（错动）区地表界限内；</w:t>
            </w:r>
            <w:r>
              <w:rPr>
                <w:rFonts w:ascii="宋体" w:hAnsi="宋体"/>
                <w:bCs/>
                <w:color w:val="auto"/>
                <w:szCs w:val="21"/>
              </w:rPr>
              <w:t>4</w:t>
            </w:r>
            <w:r>
              <w:rPr>
                <w:rFonts w:hint="eastAsia" w:ascii="宋体" w:hAnsi="宋体"/>
                <w:bCs/>
                <w:color w:val="auto"/>
                <w:szCs w:val="21"/>
              </w:rPr>
              <w:t>.爆破危险界限内；</w:t>
            </w:r>
            <w:r>
              <w:rPr>
                <w:rFonts w:ascii="宋体" w:hAnsi="宋体"/>
                <w:bCs/>
                <w:color w:val="auto"/>
                <w:szCs w:val="21"/>
              </w:rPr>
              <w:t>5</w:t>
            </w:r>
            <w:r>
              <w:rPr>
                <w:rFonts w:hint="eastAsia" w:ascii="宋体" w:hAnsi="宋体"/>
                <w:bCs/>
                <w:color w:val="auto"/>
                <w:szCs w:val="21"/>
              </w:rPr>
              <w:t>.坝或堤决溃后可能淹没的地区；</w:t>
            </w:r>
            <w:r>
              <w:rPr>
                <w:rFonts w:ascii="宋体" w:hAnsi="宋体"/>
                <w:bCs/>
                <w:color w:val="auto"/>
                <w:szCs w:val="21"/>
              </w:rPr>
              <w:t>6</w:t>
            </w:r>
            <w:r>
              <w:rPr>
                <w:rFonts w:hint="eastAsia" w:ascii="宋体" w:hAnsi="宋体"/>
                <w:bCs/>
                <w:color w:val="auto"/>
                <w:szCs w:val="21"/>
              </w:rPr>
              <w:t>.有严重放射性物质污染影响区；</w:t>
            </w:r>
            <w:r>
              <w:rPr>
                <w:rFonts w:ascii="宋体" w:hAnsi="宋体"/>
                <w:bCs/>
                <w:color w:val="auto"/>
                <w:szCs w:val="21"/>
              </w:rPr>
              <w:t>7</w:t>
            </w:r>
            <w:r>
              <w:rPr>
                <w:rFonts w:hint="eastAsia" w:ascii="宋体" w:hAnsi="宋体"/>
                <w:bCs/>
                <w:color w:val="auto"/>
                <w:szCs w:val="21"/>
              </w:rPr>
              <w:t>.生活居住区、文教区、水源保护区、名胜古迹、风景游览区、温泉、疗养区、自然保护区和其它需要特别保护的区域；</w:t>
            </w:r>
            <w:r>
              <w:rPr>
                <w:rFonts w:ascii="宋体" w:hAnsi="宋体"/>
                <w:bCs/>
                <w:color w:val="auto"/>
                <w:szCs w:val="21"/>
              </w:rPr>
              <w:t>8</w:t>
            </w:r>
            <w:r>
              <w:rPr>
                <w:rFonts w:hint="eastAsia" w:ascii="宋体" w:hAnsi="宋体"/>
                <w:bCs/>
                <w:color w:val="auto"/>
                <w:szCs w:val="21"/>
              </w:rPr>
              <w:t>.对飞机起落、电台通讯、电视转播、雷达导航和重要的天文、气象、地震观察以及军事设施等规定有影响的范围内；</w:t>
            </w:r>
            <w:r>
              <w:rPr>
                <w:rFonts w:ascii="宋体" w:hAnsi="宋体"/>
                <w:bCs/>
                <w:color w:val="auto"/>
                <w:szCs w:val="21"/>
              </w:rPr>
              <w:t>9</w:t>
            </w:r>
            <w:r>
              <w:rPr>
                <w:rFonts w:hint="eastAsia" w:ascii="宋体" w:hAnsi="宋体"/>
                <w:bCs/>
                <w:color w:val="auto"/>
                <w:szCs w:val="21"/>
              </w:rPr>
              <w:t>.很严重的自重湿陷性黄土地段，厚度大的新近堆积黄土地段和高压缩性的饱和黄土地段等地质条件恶劣地段；</w:t>
            </w:r>
            <w:r>
              <w:rPr>
                <w:rFonts w:ascii="宋体" w:hAnsi="宋体"/>
                <w:bCs/>
                <w:color w:val="auto"/>
                <w:szCs w:val="21"/>
              </w:rPr>
              <w:t>10</w:t>
            </w:r>
            <w:r>
              <w:rPr>
                <w:rFonts w:hint="eastAsia" w:ascii="宋体" w:hAnsi="宋体"/>
                <w:bCs/>
                <w:color w:val="auto"/>
                <w:szCs w:val="21"/>
              </w:rPr>
              <w:t>.具有开采价值的矿藏区；</w:t>
            </w:r>
            <w:r>
              <w:rPr>
                <w:rFonts w:ascii="宋体" w:hAnsi="宋体"/>
                <w:bCs/>
                <w:color w:val="auto"/>
                <w:szCs w:val="21"/>
              </w:rPr>
              <w:t>11</w:t>
            </w:r>
            <w:r>
              <w:rPr>
                <w:rFonts w:hint="eastAsia" w:ascii="宋体" w:hAnsi="宋体"/>
                <w:bCs/>
                <w:color w:val="auto"/>
                <w:szCs w:val="21"/>
              </w:rPr>
              <w:t>.受海啸或湖涌危害的地区。</w:t>
            </w:r>
          </w:p>
        </w:tc>
        <w:tc>
          <w:tcPr>
            <w:tcW w:w="2134" w:type="dxa"/>
            <w:vAlign w:val="center"/>
          </w:tcPr>
          <w:p>
            <w:pPr>
              <w:keepNext w:val="0"/>
              <w:keepLines w:val="0"/>
              <w:pageBreakBefore w:val="0"/>
              <w:widowControl/>
              <w:kinsoku/>
              <w:wordWrap/>
              <w:overflowPunct/>
              <w:topLinePunct w:val="0"/>
              <w:bidi w:val="0"/>
              <w:adjustRightInd/>
              <w:snapToGrid/>
              <w:spacing w:line="240" w:lineRule="exact"/>
              <w:jc w:val="center"/>
              <w:textAlignment w:val="auto"/>
              <w:rPr>
                <w:rFonts w:ascii="宋体" w:hAnsi="宋体"/>
                <w:bCs/>
                <w:color w:val="auto"/>
                <w:szCs w:val="21"/>
              </w:rPr>
            </w:pPr>
            <w:r>
              <w:rPr>
                <w:rFonts w:hint="eastAsia" w:ascii="宋体" w:hAnsi="宋体"/>
                <w:bCs/>
                <w:color w:val="auto"/>
                <w:szCs w:val="21"/>
              </w:rPr>
              <w:t>《工业企业总平面设计规范》第3.0.14条</w:t>
            </w:r>
          </w:p>
        </w:tc>
        <w:tc>
          <w:tcPr>
            <w:tcW w:w="846" w:type="dxa"/>
            <w:vAlign w:val="center"/>
          </w:tcPr>
          <w:p>
            <w:pPr>
              <w:keepNext w:val="0"/>
              <w:keepLines w:val="0"/>
              <w:pageBreakBefore w:val="0"/>
              <w:widowControl/>
              <w:kinsoku/>
              <w:wordWrap/>
              <w:overflowPunct/>
              <w:topLinePunct w:val="0"/>
              <w:bidi w:val="0"/>
              <w:adjustRightInd/>
              <w:snapToGrid/>
              <w:spacing w:line="240" w:lineRule="exact"/>
              <w:jc w:val="center"/>
              <w:textAlignment w:val="auto"/>
              <w:rPr>
                <w:rFonts w:ascii="宋体" w:hAnsi="宋体"/>
                <w:bCs/>
                <w:color w:val="auto"/>
                <w:szCs w:val="21"/>
              </w:rPr>
            </w:pPr>
            <w:r>
              <w:rPr>
                <w:rFonts w:hint="eastAsia" w:ascii="宋体" w:hAnsi="宋体"/>
                <w:bCs/>
                <w:color w:val="auto"/>
                <w:szCs w:val="21"/>
              </w:rPr>
              <w:t>符合</w:t>
            </w:r>
          </w:p>
        </w:tc>
        <w:tc>
          <w:tcPr>
            <w:tcW w:w="4290" w:type="dxa"/>
            <w:vAlign w:val="center"/>
          </w:tcPr>
          <w:p>
            <w:pPr>
              <w:keepNext w:val="0"/>
              <w:keepLines w:val="0"/>
              <w:pageBreakBefore w:val="0"/>
              <w:widowControl/>
              <w:kinsoku/>
              <w:wordWrap/>
              <w:overflowPunct/>
              <w:topLinePunct w:val="0"/>
              <w:bidi w:val="0"/>
              <w:adjustRightInd/>
              <w:snapToGrid/>
              <w:spacing w:line="240" w:lineRule="exact"/>
              <w:textAlignment w:val="auto"/>
              <w:rPr>
                <w:rFonts w:ascii="宋体" w:hAnsi="宋体"/>
                <w:bCs/>
                <w:color w:val="auto"/>
                <w:szCs w:val="21"/>
              </w:rPr>
            </w:pPr>
            <w:r>
              <w:rPr>
                <w:rFonts w:ascii="宋体" w:hAnsi="宋体"/>
                <w:bCs/>
                <w:color w:val="auto"/>
                <w:szCs w:val="21"/>
              </w:rPr>
              <w:t>1.矿区地震</w:t>
            </w:r>
            <w:r>
              <w:rPr>
                <w:rFonts w:hint="eastAsia" w:ascii="宋体" w:hAnsi="宋体"/>
                <w:bCs/>
                <w:color w:val="auto"/>
                <w:szCs w:val="21"/>
              </w:rPr>
              <w:t>设防</w:t>
            </w:r>
            <w:r>
              <w:rPr>
                <w:rFonts w:ascii="宋体" w:hAnsi="宋体"/>
                <w:bCs/>
                <w:color w:val="auto"/>
                <w:szCs w:val="21"/>
              </w:rPr>
              <w:t>烈度</w:t>
            </w:r>
            <w:r>
              <w:rPr>
                <w:rFonts w:hint="eastAsia" w:ascii="宋体" w:hAnsi="宋体"/>
                <w:bCs/>
                <w:color w:val="auto"/>
                <w:szCs w:val="21"/>
              </w:rPr>
              <w:t>为</w:t>
            </w:r>
            <w:r>
              <w:rPr>
                <w:rFonts w:ascii="宋体" w:hAnsi="宋体"/>
                <w:bCs/>
                <w:color w:val="auto"/>
                <w:szCs w:val="21"/>
              </w:rPr>
              <w:t>6度；2.</w:t>
            </w:r>
            <w:r>
              <w:rPr>
                <w:rFonts w:hint="eastAsia" w:ascii="宋体" w:hAnsi="宋体"/>
                <w:bCs/>
                <w:color w:val="auto"/>
                <w:szCs w:val="21"/>
              </w:rPr>
              <w:t>矿区附近没有泥石流、滑坡、流沙、溶洞等直接危害的地段；</w:t>
            </w:r>
            <w:r>
              <w:rPr>
                <w:rFonts w:ascii="宋体" w:hAnsi="宋体"/>
                <w:bCs/>
                <w:color w:val="auto"/>
                <w:szCs w:val="21"/>
              </w:rPr>
              <w:t>3.</w:t>
            </w:r>
            <w:r>
              <w:rPr>
                <w:rFonts w:hint="eastAsia" w:ascii="宋体" w:hAnsi="宋体"/>
                <w:bCs/>
                <w:color w:val="auto"/>
                <w:szCs w:val="21"/>
              </w:rPr>
              <w:t>矿区没有地下采矿，不存在采矿陷落区；</w:t>
            </w:r>
            <w:r>
              <w:rPr>
                <w:rFonts w:ascii="宋体" w:hAnsi="宋体"/>
                <w:bCs/>
                <w:color w:val="auto"/>
                <w:szCs w:val="21"/>
              </w:rPr>
              <w:t>4.</w:t>
            </w:r>
            <w:r>
              <w:rPr>
                <w:rFonts w:hint="eastAsia" w:ascii="宋体" w:hAnsi="宋体"/>
                <w:bCs/>
                <w:color w:val="auto"/>
                <w:szCs w:val="21"/>
              </w:rPr>
              <w:t>矿区周边300</w:t>
            </w:r>
            <w:r>
              <w:rPr>
                <w:rFonts w:ascii="宋体" w:hAnsi="宋体"/>
                <w:bCs/>
                <w:color w:val="auto"/>
                <w:szCs w:val="21"/>
              </w:rPr>
              <w:t>m范围内无</w:t>
            </w:r>
            <w:r>
              <w:rPr>
                <w:rFonts w:hint="eastAsia" w:ascii="宋体" w:hAnsi="宋体"/>
                <w:bCs/>
                <w:color w:val="auto"/>
                <w:szCs w:val="21"/>
              </w:rPr>
              <w:t>其他</w:t>
            </w:r>
            <w:r>
              <w:rPr>
                <w:rFonts w:ascii="宋体" w:hAnsi="宋体"/>
                <w:bCs/>
                <w:color w:val="auto"/>
                <w:szCs w:val="21"/>
              </w:rPr>
              <w:t>矿山</w:t>
            </w:r>
            <w:r>
              <w:rPr>
                <w:rFonts w:hint="eastAsia" w:ascii="宋体" w:hAnsi="宋体"/>
                <w:bCs/>
                <w:color w:val="auto"/>
                <w:szCs w:val="21"/>
              </w:rPr>
              <w:t>；</w:t>
            </w:r>
            <w:r>
              <w:rPr>
                <w:rFonts w:ascii="宋体" w:hAnsi="宋体"/>
                <w:bCs/>
                <w:color w:val="auto"/>
                <w:szCs w:val="21"/>
              </w:rPr>
              <w:t>5.矿区无重要供水水源卫生保护区；6.矿区不属于风景区森林和自然保护区；7.</w:t>
            </w:r>
            <w:r>
              <w:rPr>
                <w:rFonts w:hint="eastAsia" w:ascii="宋体" w:hAnsi="宋体"/>
                <w:bCs/>
                <w:color w:val="auto"/>
                <w:szCs w:val="21"/>
              </w:rPr>
              <w:t>区域</w:t>
            </w:r>
            <w:r>
              <w:rPr>
                <w:rFonts w:ascii="宋体" w:hAnsi="宋体"/>
                <w:bCs/>
                <w:color w:val="auto"/>
                <w:szCs w:val="21"/>
              </w:rPr>
              <w:t>无历史文物古迹保护区；8.</w:t>
            </w:r>
            <w:r>
              <w:rPr>
                <w:rFonts w:hint="eastAsia" w:ascii="宋体" w:hAnsi="宋体"/>
                <w:bCs/>
                <w:color w:val="auto"/>
                <w:szCs w:val="21"/>
              </w:rPr>
              <w:t>矿区开采范围内1km无机场、电台通讯、电视转播及其他公共设施；</w:t>
            </w:r>
            <w:r>
              <w:rPr>
                <w:rFonts w:ascii="宋体" w:hAnsi="宋体"/>
                <w:bCs/>
                <w:color w:val="auto"/>
                <w:szCs w:val="21"/>
              </w:rPr>
              <w:t>9.工程地质条件</w:t>
            </w:r>
            <w:r>
              <w:rPr>
                <w:rFonts w:hint="eastAsia" w:ascii="宋体" w:hAnsi="宋体"/>
                <w:bCs/>
                <w:color w:val="auto"/>
                <w:szCs w:val="21"/>
              </w:rPr>
              <w:t>简单，无上述不良地质；</w:t>
            </w:r>
            <w:r>
              <w:rPr>
                <w:rFonts w:ascii="宋体" w:hAnsi="宋体"/>
                <w:bCs/>
                <w:color w:val="auto"/>
                <w:szCs w:val="21"/>
              </w:rPr>
              <w:t>10.</w:t>
            </w:r>
            <w:r>
              <w:rPr>
                <w:rFonts w:hint="eastAsia" w:ascii="宋体" w:hAnsi="宋体"/>
                <w:bCs/>
                <w:color w:val="auto"/>
                <w:szCs w:val="21"/>
              </w:rPr>
              <w:t>该矿开采矿种为高岭土；</w:t>
            </w:r>
            <w:r>
              <w:rPr>
                <w:rFonts w:ascii="宋体" w:hAnsi="宋体"/>
                <w:bCs/>
                <w:color w:val="auto"/>
                <w:szCs w:val="21"/>
              </w:rPr>
              <w:t>11.</w:t>
            </w:r>
            <w:r>
              <w:rPr>
                <w:rFonts w:hint="eastAsia" w:ascii="宋体" w:hAnsi="宋体"/>
                <w:bCs/>
                <w:color w:val="auto"/>
                <w:szCs w:val="21"/>
              </w:rPr>
              <w:t>不</w:t>
            </w:r>
            <w:r>
              <w:rPr>
                <w:rFonts w:ascii="宋体" w:hAnsi="宋体"/>
                <w:bCs/>
                <w:color w:val="auto"/>
                <w:szCs w:val="21"/>
              </w:rPr>
              <w:t>受海啸或湖涌危害</w:t>
            </w:r>
            <w:r>
              <w:rPr>
                <w:rFonts w:hint="eastAsia" w:ascii="宋体" w:hAnsi="宋体"/>
                <w:bCs/>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789" w:type="dxa"/>
            <w:vAlign w:val="center"/>
          </w:tcPr>
          <w:p>
            <w:pPr>
              <w:widowControl/>
              <w:jc w:val="center"/>
              <w:rPr>
                <w:rFonts w:ascii="宋体" w:hAnsi="宋体"/>
                <w:bCs/>
                <w:color w:val="auto"/>
                <w:szCs w:val="21"/>
              </w:rPr>
            </w:pPr>
            <w:r>
              <w:rPr>
                <w:rFonts w:ascii="宋体" w:hAnsi="宋体"/>
                <w:bCs/>
                <w:color w:val="auto"/>
                <w:szCs w:val="21"/>
              </w:rPr>
              <w:t>2</w:t>
            </w:r>
          </w:p>
        </w:tc>
        <w:tc>
          <w:tcPr>
            <w:tcW w:w="763" w:type="dxa"/>
            <w:vAlign w:val="center"/>
          </w:tcPr>
          <w:p>
            <w:pPr>
              <w:widowControl/>
              <w:jc w:val="center"/>
              <w:rPr>
                <w:rFonts w:ascii="宋体" w:hAnsi="宋体" w:cs="Tahoma"/>
                <w:color w:val="auto"/>
                <w:szCs w:val="21"/>
              </w:rPr>
            </w:pPr>
            <w:r>
              <w:rPr>
                <w:rFonts w:hint="eastAsia" w:ascii="宋体" w:hAnsi="宋体" w:cs="Tahoma"/>
                <w:color w:val="auto"/>
                <w:szCs w:val="21"/>
              </w:rPr>
              <w:t>办公生活区</w:t>
            </w:r>
          </w:p>
        </w:tc>
        <w:tc>
          <w:tcPr>
            <w:tcW w:w="5115" w:type="dxa"/>
            <w:vAlign w:val="center"/>
          </w:tcPr>
          <w:p>
            <w:pPr>
              <w:keepNext w:val="0"/>
              <w:keepLines w:val="0"/>
              <w:pageBreakBefore w:val="0"/>
              <w:widowControl/>
              <w:kinsoku/>
              <w:wordWrap/>
              <w:overflowPunct/>
              <w:topLinePunct w:val="0"/>
              <w:bidi w:val="0"/>
              <w:adjustRightInd/>
              <w:snapToGrid/>
              <w:spacing w:line="240" w:lineRule="exact"/>
              <w:textAlignment w:val="auto"/>
              <w:rPr>
                <w:rFonts w:ascii="宋体" w:hAnsi="宋体"/>
                <w:color w:val="auto"/>
                <w:szCs w:val="21"/>
              </w:rPr>
            </w:pPr>
            <w:r>
              <w:rPr>
                <w:rFonts w:hint="eastAsia" w:ascii="宋体" w:hAnsi="宋体"/>
                <w:color w:val="auto"/>
                <w:szCs w:val="21"/>
              </w:rPr>
              <w:t>矿山企业的办公区、生活区、工业场地、地面建筑等，不应设在危崖、塌陷区、崩落区，不应设在受尘毒、污风影响区域内，不应受洪水、泥石流、爆破威胁。</w:t>
            </w:r>
          </w:p>
        </w:tc>
        <w:tc>
          <w:tcPr>
            <w:tcW w:w="2134" w:type="dxa"/>
            <w:vAlign w:val="center"/>
          </w:tcPr>
          <w:p>
            <w:pPr>
              <w:keepNext w:val="0"/>
              <w:keepLines w:val="0"/>
              <w:pageBreakBefore w:val="0"/>
              <w:widowControl/>
              <w:kinsoku/>
              <w:wordWrap/>
              <w:overflowPunct/>
              <w:topLinePunct w:val="0"/>
              <w:bidi w:val="0"/>
              <w:adjustRightInd/>
              <w:snapToGrid/>
              <w:spacing w:line="240" w:lineRule="exact"/>
              <w:jc w:val="center"/>
              <w:textAlignment w:val="auto"/>
              <w:rPr>
                <w:rFonts w:ascii="宋体" w:hAnsi="宋体"/>
                <w:bCs/>
                <w:color w:val="auto"/>
                <w:szCs w:val="21"/>
              </w:rPr>
            </w:pPr>
            <w:r>
              <w:rPr>
                <w:rFonts w:hint="eastAsia" w:ascii="宋体" w:hAnsi="宋体"/>
                <w:bCs/>
                <w:color w:val="auto"/>
                <w:szCs w:val="21"/>
              </w:rPr>
              <w:t>《金属非金属矿山安全规程》第4.</w:t>
            </w:r>
            <w:r>
              <w:rPr>
                <w:rFonts w:ascii="宋体" w:hAnsi="宋体"/>
                <w:bCs/>
                <w:color w:val="auto"/>
                <w:szCs w:val="21"/>
              </w:rPr>
              <w:t>6.1</w:t>
            </w:r>
            <w:r>
              <w:rPr>
                <w:rFonts w:hint="eastAsia" w:ascii="宋体" w:hAnsi="宋体"/>
                <w:bCs/>
                <w:color w:val="auto"/>
                <w:szCs w:val="21"/>
              </w:rPr>
              <w:t>条</w:t>
            </w:r>
          </w:p>
        </w:tc>
        <w:tc>
          <w:tcPr>
            <w:tcW w:w="846" w:type="dxa"/>
            <w:vAlign w:val="center"/>
          </w:tcPr>
          <w:p>
            <w:pPr>
              <w:keepNext w:val="0"/>
              <w:keepLines w:val="0"/>
              <w:pageBreakBefore w:val="0"/>
              <w:widowControl/>
              <w:kinsoku/>
              <w:wordWrap/>
              <w:overflowPunct/>
              <w:topLinePunct w:val="0"/>
              <w:bidi w:val="0"/>
              <w:adjustRightInd/>
              <w:snapToGrid/>
              <w:spacing w:line="240" w:lineRule="exact"/>
              <w:jc w:val="center"/>
              <w:textAlignment w:val="auto"/>
              <w:rPr>
                <w:rFonts w:ascii="宋体" w:hAnsi="宋体" w:cs="Tahoma"/>
                <w:color w:val="auto"/>
                <w:szCs w:val="21"/>
              </w:rPr>
            </w:pPr>
            <w:r>
              <w:rPr>
                <w:rFonts w:hint="eastAsia" w:ascii="宋体" w:hAnsi="宋体" w:cs="Tahoma"/>
                <w:color w:val="auto"/>
                <w:szCs w:val="21"/>
              </w:rPr>
              <w:t>符合</w:t>
            </w:r>
          </w:p>
        </w:tc>
        <w:tc>
          <w:tcPr>
            <w:tcW w:w="4290" w:type="dxa"/>
            <w:vAlign w:val="center"/>
          </w:tcPr>
          <w:p>
            <w:pPr>
              <w:keepNext w:val="0"/>
              <w:keepLines w:val="0"/>
              <w:pageBreakBefore w:val="0"/>
              <w:widowControl/>
              <w:kinsoku/>
              <w:wordWrap/>
              <w:overflowPunct/>
              <w:topLinePunct w:val="0"/>
              <w:bidi w:val="0"/>
              <w:adjustRightInd/>
              <w:snapToGrid/>
              <w:spacing w:line="240" w:lineRule="exact"/>
              <w:textAlignment w:val="auto"/>
              <w:rPr>
                <w:rFonts w:ascii="宋体" w:hAnsi="宋体"/>
                <w:bCs/>
                <w:color w:val="auto"/>
                <w:szCs w:val="21"/>
              </w:rPr>
            </w:pPr>
            <w:r>
              <w:rPr>
                <w:rFonts w:hint="eastAsia" w:ascii="宋体" w:hAnsi="宋体"/>
                <w:bCs/>
                <w:color w:val="auto"/>
                <w:szCs w:val="21"/>
              </w:rPr>
              <w:t>办公生活区</w:t>
            </w:r>
            <w:r>
              <w:rPr>
                <w:rFonts w:hint="eastAsia" w:ascii="宋体" w:hAnsi="宋体"/>
                <w:color w:val="auto"/>
                <w:szCs w:val="21"/>
              </w:rPr>
              <w:t>设在危崖、塌陷区、崩落区以外，不在受尘毒、污风影响区域内，不受洪水、泥石流、爆破威胁。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jc w:val="center"/>
        </w:trPr>
        <w:tc>
          <w:tcPr>
            <w:tcW w:w="789" w:type="dxa"/>
            <w:vMerge w:val="restart"/>
            <w:vAlign w:val="center"/>
          </w:tcPr>
          <w:p>
            <w:pPr>
              <w:widowControl/>
              <w:jc w:val="center"/>
              <w:rPr>
                <w:rFonts w:ascii="宋体" w:hAnsi="宋体"/>
                <w:bCs/>
                <w:color w:val="auto"/>
                <w:szCs w:val="21"/>
              </w:rPr>
            </w:pPr>
            <w:r>
              <w:rPr>
                <w:rFonts w:ascii="宋体" w:hAnsi="宋体"/>
                <w:bCs/>
                <w:color w:val="auto"/>
                <w:szCs w:val="21"/>
              </w:rPr>
              <w:t>3</w:t>
            </w:r>
          </w:p>
        </w:tc>
        <w:tc>
          <w:tcPr>
            <w:tcW w:w="763" w:type="dxa"/>
            <w:vMerge w:val="restart"/>
            <w:vAlign w:val="center"/>
          </w:tcPr>
          <w:p>
            <w:pPr>
              <w:widowControl/>
              <w:jc w:val="center"/>
              <w:rPr>
                <w:rFonts w:ascii="宋体" w:hAnsi="宋体" w:cs="Tahoma"/>
                <w:color w:val="auto"/>
                <w:szCs w:val="21"/>
              </w:rPr>
            </w:pPr>
            <w:r>
              <w:rPr>
                <w:rFonts w:hint="eastAsia" w:ascii="宋体" w:hAnsi="宋体" w:cs="Tahoma"/>
                <w:color w:val="auto"/>
                <w:szCs w:val="21"/>
              </w:rPr>
              <w:t>运输道路</w:t>
            </w:r>
          </w:p>
        </w:tc>
        <w:tc>
          <w:tcPr>
            <w:tcW w:w="5115" w:type="dxa"/>
            <w:vAlign w:val="center"/>
          </w:tcPr>
          <w:p>
            <w:pPr>
              <w:keepNext w:val="0"/>
              <w:keepLines w:val="0"/>
              <w:pageBreakBefore w:val="0"/>
              <w:widowControl/>
              <w:kinsoku/>
              <w:wordWrap/>
              <w:overflowPunct/>
              <w:topLinePunct w:val="0"/>
              <w:bidi w:val="0"/>
              <w:adjustRightInd/>
              <w:snapToGrid/>
              <w:spacing w:line="240" w:lineRule="exact"/>
              <w:textAlignment w:val="auto"/>
              <w:rPr>
                <w:rFonts w:ascii="宋体" w:hAnsi="宋体" w:cs="Tahoma"/>
                <w:color w:val="auto"/>
                <w:szCs w:val="21"/>
              </w:rPr>
            </w:pPr>
            <w:r>
              <w:rPr>
                <w:rFonts w:ascii="宋体" w:hAnsi="宋体" w:cs="Tahoma"/>
                <w:color w:val="auto"/>
                <w:szCs w:val="21"/>
              </w:rPr>
              <w:t>露天矿山道路设计，应根据矿山地形、地质、开采境界、开采推进方向，各开采台阶（阶段）标高以及卸矿点和废石场（排土场）位置，并密切配合采矿工艺，全面考虑山坡开采或深度开采要求，合理布设路线。</w:t>
            </w:r>
          </w:p>
        </w:tc>
        <w:tc>
          <w:tcPr>
            <w:tcW w:w="2134" w:type="dxa"/>
            <w:vAlign w:val="center"/>
          </w:tcPr>
          <w:p>
            <w:pPr>
              <w:keepNext w:val="0"/>
              <w:keepLines w:val="0"/>
              <w:pageBreakBefore w:val="0"/>
              <w:widowControl/>
              <w:kinsoku/>
              <w:wordWrap/>
              <w:overflowPunct/>
              <w:topLinePunct w:val="0"/>
              <w:bidi w:val="0"/>
              <w:adjustRightInd/>
              <w:snapToGrid/>
              <w:spacing w:line="240" w:lineRule="exact"/>
              <w:jc w:val="center"/>
              <w:textAlignment w:val="auto"/>
              <w:rPr>
                <w:rFonts w:ascii="宋体" w:hAnsi="宋体" w:cs="Tahoma"/>
                <w:color w:val="auto"/>
                <w:szCs w:val="21"/>
              </w:rPr>
            </w:pPr>
            <w:r>
              <w:rPr>
                <w:rFonts w:ascii="宋体" w:hAnsi="宋体" w:cs="Tahoma"/>
                <w:color w:val="auto"/>
                <w:szCs w:val="21"/>
              </w:rPr>
              <w:t>《厂矿道路设计规范》第2.1.6条</w:t>
            </w:r>
          </w:p>
        </w:tc>
        <w:tc>
          <w:tcPr>
            <w:tcW w:w="846" w:type="dxa"/>
            <w:vAlign w:val="center"/>
          </w:tcPr>
          <w:p>
            <w:pPr>
              <w:keepNext w:val="0"/>
              <w:keepLines w:val="0"/>
              <w:pageBreakBefore w:val="0"/>
              <w:widowControl/>
              <w:kinsoku/>
              <w:wordWrap/>
              <w:overflowPunct/>
              <w:topLinePunct w:val="0"/>
              <w:bidi w:val="0"/>
              <w:adjustRightInd/>
              <w:snapToGrid/>
              <w:spacing w:line="240" w:lineRule="exact"/>
              <w:jc w:val="center"/>
              <w:textAlignment w:val="auto"/>
              <w:rPr>
                <w:rFonts w:ascii="宋体" w:hAnsi="宋体" w:cs="Tahoma"/>
                <w:color w:val="auto"/>
                <w:szCs w:val="21"/>
              </w:rPr>
            </w:pPr>
            <w:r>
              <w:rPr>
                <w:rFonts w:ascii="宋体" w:hAnsi="宋体" w:cs="Tahoma"/>
                <w:color w:val="auto"/>
                <w:szCs w:val="21"/>
              </w:rPr>
              <w:t>符合</w:t>
            </w:r>
          </w:p>
        </w:tc>
        <w:tc>
          <w:tcPr>
            <w:tcW w:w="4290" w:type="dxa"/>
            <w:vAlign w:val="center"/>
          </w:tcPr>
          <w:p>
            <w:pPr>
              <w:keepNext w:val="0"/>
              <w:keepLines w:val="0"/>
              <w:pageBreakBefore w:val="0"/>
              <w:widowControl/>
              <w:kinsoku/>
              <w:wordWrap/>
              <w:overflowPunct/>
              <w:topLinePunct w:val="0"/>
              <w:bidi w:val="0"/>
              <w:adjustRightInd/>
              <w:snapToGrid/>
              <w:spacing w:line="240" w:lineRule="exact"/>
              <w:textAlignment w:val="auto"/>
              <w:rPr>
                <w:rFonts w:ascii="宋体" w:hAnsi="宋体"/>
                <w:bCs/>
                <w:color w:val="auto"/>
                <w:szCs w:val="21"/>
              </w:rPr>
            </w:pPr>
            <w:r>
              <w:rPr>
                <w:rFonts w:hint="eastAsia" w:ascii="宋体" w:hAnsi="宋体"/>
                <w:bCs/>
                <w:color w:val="auto"/>
                <w:szCs w:val="21"/>
              </w:rPr>
              <w:t>开拓简易道路，自下而上</w:t>
            </w:r>
            <w:r>
              <w:rPr>
                <w:rFonts w:ascii="宋体" w:hAnsi="宋体"/>
                <w:bCs/>
                <w:color w:val="auto"/>
                <w:szCs w:val="21"/>
              </w:rPr>
              <w:t>开拓上山道路</w:t>
            </w:r>
            <w:r>
              <w:rPr>
                <w:rFonts w:hint="eastAsia" w:ascii="宋体" w:hAnsi="宋体"/>
                <w:bCs/>
                <w:color w:val="auto"/>
                <w:szCs w:val="21"/>
              </w:rPr>
              <w:t>至首采部位</w:t>
            </w:r>
            <w:r>
              <w:rPr>
                <w:rFonts w:ascii="宋体" w:hAnsi="宋体"/>
                <w:bCs/>
                <w:color w:val="auto"/>
                <w:szCs w:val="21"/>
              </w:rPr>
              <w:t>，以开段沟形</w:t>
            </w:r>
            <w:r>
              <w:rPr>
                <w:rFonts w:hint="eastAsia" w:ascii="宋体" w:hAnsi="宋体"/>
                <w:bCs/>
                <w:color w:val="auto"/>
                <w:szCs w:val="21"/>
              </w:rPr>
              <w:t>式</w:t>
            </w:r>
            <w:r>
              <w:rPr>
                <w:rFonts w:ascii="宋体" w:hAnsi="宋体"/>
                <w:bCs/>
                <w:color w:val="auto"/>
                <w:szCs w:val="21"/>
              </w:rPr>
              <w:t>与</w:t>
            </w:r>
            <w:r>
              <w:rPr>
                <w:rFonts w:hint="eastAsia" w:ascii="宋体" w:hAnsi="宋体"/>
                <w:bCs/>
                <w:color w:val="auto"/>
                <w:szCs w:val="21"/>
              </w:rPr>
              <w:t>各台阶</w:t>
            </w:r>
            <w:r>
              <w:rPr>
                <w:rFonts w:ascii="宋体" w:hAnsi="宋体"/>
                <w:bCs/>
                <w:color w:val="auto"/>
                <w:szCs w:val="21"/>
              </w:rPr>
              <w:t>连接形成各水平台阶的运输系统</w:t>
            </w:r>
            <w:r>
              <w:rPr>
                <w:rFonts w:hint="eastAsia" w:ascii="宋体" w:hAnsi="宋体"/>
                <w:bCs/>
                <w:color w:val="auto"/>
                <w:szCs w:val="21"/>
              </w:rPr>
              <w:t>，运输道路按露天矿山三级道路标准设计。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9" w:hRule="atLeast"/>
          <w:jc w:val="center"/>
        </w:trPr>
        <w:tc>
          <w:tcPr>
            <w:tcW w:w="789" w:type="dxa"/>
            <w:vMerge w:val="continue"/>
            <w:vAlign w:val="center"/>
          </w:tcPr>
          <w:p>
            <w:pPr>
              <w:widowControl/>
              <w:jc w:val="center"/>
              <w:rPr>
                <w:rFonts w:ascii="宋体" w:hAnsi="宋体"/>
                <w:bCs/>
                <w:color w:val="auto"/>
                <w:szCs w:val="21"/>
              </w:rPr>
            </w:pPr>
          </w:p>
        </w:tc>
        <w:tc>
          <w:tcPr>
            <w:tcW w:w="763" w:type="dxa"/>
            <w:vMerge w:val="continue"/>
            <w:vAlign w:val="center"/>
          </w:tcPr>
          <w:p>
            <w:pPr>
              <w:widowControl/>
              <w:jc w:val="center"/>
              <w:rPr>
                <w:rFonts w:ascii="宋体" w:hAnsi="宋体" w:cs="Tahoma"/>
                <w:color w:val="auto"/>
                <w:szCs w:val="21"/>
              </w:rPr>
            </w:pPr>
          </w:p>
        </w:tc>
        <w:tc>
          <w:tcPr>
            <w:tcW w:w="5115" w:type="dxa"/>
            <w:vAlign w:val="center"/>
          </w:tcPr>
          <w:p>
            <w:pPr>
              <w:keepNext w:val="0"/>
              <w:keepLines w:val="0"/>
              <w:pageBreakBefore w:val="0"/>
              <w:widowControl/>
              <w:kinsoku/>
              <w:wordWrap/>
              <w:overflowPunct/>
              <w:topLinePunct w:val="0"/>
              <w:bidi w:val="0"/>
              <w:adjustRightInd/>
              <w:snapToGrid/>
              <w:spacing w:line="240" w:lineRule="exact"/>
              <w:textAlignment w:val="auto"/>
              <w:rPr>
                <w:rFonts w:ascii="宋体" w:hAnsi="宋体" w:cs="Tahoma"/>
                <w:color w:val="auto"/>
                <w:szCs w:val="21"/>
              </w:rPr>
            </w:pPr>
            <w:r>
              <w:rPr>
                <w:rFonts w:ascii="宋体" w:hAnsi="宋体" w:cs="Tahoma"/>
                <w:color w:val="auto"/>
                <w:szCs w:val="21"/>
              </w:rPr>
              <w:t>露天矿山道路布置应符合：</w:t>
            </w:r>
          </w:p>
          <w:p>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cs="Tahoma"/>
                <w:color w:val="auto"/>
                <w:szCs w:val="21"/>
              </w:rPr>
            </w:pPr>
            <w:r>
              <w:rPr>
                <w:rFonts w:hint="eastAsia" w:ascii="宋体" w:hAnsi="宋体" w:cs="Tahoma"/>
                <w:color w:val="auto"/>
                <w:szCs w:val="21"/>
              </w:rPr>
              <w:t>1.应满足开采工艺和顺序的要求，线路运输距离应短；</w:t>
            </w:r>
          </w:p>
          <w:p>
            <w:pPr>
              <w:keepNext w:val="0"/>
              <w:keepLines w:val="0"/>
              <w:pageBreakBefore w:val="0"/>
              <w:widowControl/>
              <w:kinsoku/>
              <w:wordWrap/>
              <w:overflowPunct/>
              <w:topLinePunct w:val="0"/>
              <w:autoSpaceDE w:val="0"/>
              <w:autoSpaceDN w:val="0"/>
              <w:bidi w:val="0"/>
              <w:adjustRightInd/>
              <w:snapToGrid/>
              <w:spacing w:line="240" w:lineRule="exact"/>
              <w:textAlignment w:val="auto"/>
              <w:rPr>
                <w:rFonts w:ascii="宋体" w:hAnsi="宋体" w:cs="Tahoma"/>
                <w:color w:val="auto"/>
                <w:szCs w:val="21"/>
              </w:rPr>
            </w:pPr>
            <w:r>
              <w:rPr>
                <w:rFonts w:ascii="宋体" w:hAnsi="宋体" w:cs="Tahoma"/>
                <w:color w:val="auto"/>
                <w:szCs w:val="21"/>
              </w:rPr>
              <w:t>2</w:t>
            </w:r>
            <w:r>
              <w:rPr>
                <w:rFonts w:hint="eastAsia" w:ascii="宋体" w:hAnsi="宋体" w:cs="Tahoma"/>
                <w:color w:val="auto"/>
                <w:szCs w:val="21"/>
              </w:rPr>
              <w:t>.沿采场边缘布置时，应满足路基边坡稳定、装卸作业、生产安全的要求，并应采取防止大块石滚落等的措施；</w:t>
            </w:r>
          </w:p>
          <w:p>
            <w:pPr>
              <w:keepNext w:val="0"/>
              <w:keepLines w:val="0"/>
              <w:pageBreakBefore w:val="0"/>
              <w:widowControl/>
              <w:kinsoku/>
              <w:wordWrap/>
              <w:overflowPunct/>
              <w:topLinePunct w:val="0"/>
              <w:bidi w:val="0"/>
              <w:adjustRightInd/>
              <w:snapToGrid/>
              <w:spacing w:line="240" w:lineRule="exact"/>
              <w:textAlignment w:val="auto"/>
              <w:rPr>
                <w:rFonts w:ascii="宋体" w:hAnsi="宋体" w:cs="Tahoma"/>
                <w:color w:val="auto"/>
                <w:szCs w:val="21"/>
              </w:rPr>
            </w:pPr>
            <w:r>
              <w:rPr>
                <w:rFonts w:ascii="宋体" w:hAnsi="宋体" w:cs="Tahoma"/>
                <w:color w:val="auto"/>
                <w:szCs w:val="21"/>
              </w:rPr>
              <w:t>3</w:t>
            </w:r>
            <w:r>
              <w:rPr>
                <w:rFonts w:hint="eastAsia" w:ascii="宋体" w:hAnsi="宋体" w:cs="Tahoma"/>
                <w:color w:val="auto"/>
                <w:szCs w:val="21"/>
              </w:rPr>
              <w:t>.深挖露天矿应结合开拓运输方案，合理选择出入沟的位置，并应减少扩帮量。</w:t>
            </w:r>
          </w:p>
        </w:tc>
        <w:tc>
          <w:tcPr>
            <w:tcW w:w="2134" w:type="dxa"/>
            <w:vAlign w:val="center"/>
          </w:tcPr>
          <w:p>
            <w:pPr>
              <w:keepNext w:val="0"/>
              <w:keepLines w:val="0"/>
              <w:pageBreakBefore w:val="0"/>
              <w:widowControl/>
              <w:kinsoku/>
              <w:wordWrap/>
              <w:overflowPunct/>
              <w:topLinePunct w:val="0"/>
              <w:bidi w:val="0"/>
              <w:adjustRightInd/>
              <w:snapToGrid/>
              <w:spacing w:line="240" w:lineRule="exact"/>
              <w:jc w:val="center"/>
              <w:textAlignment w:val="auto"/>
              <w:rPr>
                <w:rFonts w:ascii="宋体" w:hAnsi="宋体" w:cs="Tahoma"/>
                <w:color w:val="auto"/>
                <w:szCs w:val="21"/>
              </w:rPr>
            </w:pPr>
            <w:r>
              <w:rPr>
                <w:rFonts w:ascii="宋体" w:hAnsi="宋体" w:cs="Tahoma"/>
                <w:color w:val="auto"/>
                <w:szCs w:val="21"/>
              </w:rPr>
              <w:t>《工业企业总平面设计规范》第</w:t>
            </w:r>
            <w:r>
              <w:rPr>
                <w:rFonts w:hint="eastAsia" w:ascii="宋体" w:hAnsi="宋体" w:cs="Tahoma"/>
                <w:color w:val="auto"/>
                <w:szCs w:val="21"/>
              </w:rPr>
              <w:t>6.4.2</w:t>
            </w:r>
            <w:r>
              <w:rPr>
                <w:rFonts w:ascii="宋体" w:hAnsi="宋体" w:cs="Tahoma"/>
                <w:color w:val="auto"/>
                <w:szCs w:val="21"/>
              </w:rPr>
              <w:t>条</w:t>
            </w:r>
          </w:p>
        </w:tc>
        <w:tc>
          <w:tcPr>
            <w:tcW w:w="846" w:type="dxa"/>
            <w:vAlign w:val="center"/>
          </w:tcPr>
          <w:p>
            <w:pPr>
              <w:keepNext w:val="0"/>
              <w:keepLines w:val="0"/>
              <w:pageBreakBefore w:val="0"/>
              <w:widowControl/>
              <w:kinsoku/>
              <w:wordWrap/>
              <w:overflowPunct/>
              <w:topLinePunct w:val="0"/>
              <w:bidi w:val="0"/>
              <w:adjustRightInd/>
              <w:snapToGrid/>
              <w:spacing w:line="240" w:lineRule="exact"/>
              <w:jc w:val="center"/>
              <w:textAlignment w:val="auto"/>
              <w:rPr>
                <w:rFonts w:ascii="宋体" w:hAnsi="宋体" w:cs="Tahoma"/>
                <w:color w:val="auto"/>
                <w:szCs w:val="21"/>
              </w:rPr>
            </w:pPr>
            <w:r>
              <w:rPr>
                <w:rFonts w:hint="eastAsia" w:ascii="宋体" w:hAnsi="宋体" w:cs="Tahoma"/>
                <w:color w:val="auto"/>
                <w:szCs w:val="21"/>
              </w:rPr>
              <w:t>符合</w:t>
            </w:r>
          </w:p>
        </w:tc>
        <w:tc>
          <w:tcPr>
            <w:tcW w:w="4290" w:type="dxa"/>
            <w:vAlign w:val="center"/>
          </w:tcPr>
          <w:p>
            <w:pPr>
              <w:keepNext w:val="0"/>
              <w:keepLines w:val="0"/>
              <w:pageBreakBefore w:val="0"/>
              <w:widowControl/>
              <w:kinsoku/>
              <w:wordWrap/>
              <w:overflowPunct/>
              <w:topLinePunct w:val="0"/>
              <w:bidi w:val="0"/>
              <w:adjustRightInd/>
              <w:snapToGrid/>
              <w:spacing w:line="240" w:lineRule="exact"/>
              <w:textAlignment w:val="auto"/>
              <w:rPr>
                <w:rFonts w:ascii="宋体" w:hAnsi="宋体" w:cs="Tahoma"/>
                <w:color w:val="auto"/>
                <w:szCs w:val="21"/>
              </w:rPr>
            </w:pPr>
            <w:r>
              <w:rPr>
                <w:rFonts w:hint="eastAsia" w:ascii="宋体" w:hAnsi="宋体"/>
                <w:bCs/>
                <w:color w:val="auto"/>
                <w:szCs w:val="21"/>
              </w:rPr>
              <w:t>矿石运输距离短；矿山道路满足生产要求</w:t>
            </w:r>
            <w:r>
              <w:rPr>
                <w:rFonts w:ascii="宋体" w:hAnsi="宋体"/>
                <w:bCs/>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9" w:hRule="atLeast"/>
          <w:jc w:val="center"/>
        </w:trPr>
        <w:tc>
          <w:tcPr>
            <w:tcW w:w="789" w:type="dxa"/>
            <w:vAlign w:val="center"/>
          </w:tcPr>
          <w:p>
            <w:pPr>
              <w:widowControl/>
              <w:jc w:val="center"/>
              <w:rPr>
                <w:rFonts w:ascii="宋体" w:hAnsi="宋体"/>
                <w:bCs/>
                <w:color w:val="auto"/>
                <w:szCs w:val="21"/>
              </w:rPr>
            </w:pPr>
            <w:r>
              <w:rPr>
                <w:rFonts w:hint="eastAsia" w:ascii="宋体" w:hAnsi="宋体"/>
                <w:bCs/>
                <w:color w:val="auto"/>
                <w:szCs w:val="21"/>
              </w:rPr>
              <w:t>5</w:t>
            </w:r>
          </w:p>
        </w:tc>
        <w:tc>
          <w:tcPr>
            <w:tcW w:w="763" w:type="dxa"/>
            <w:vAlign w:val="center"/>
          </w:tcPr>
          <w:p>
            <w:pPr>
              <w:widowControl/>
              <w:jc w:val="center"/>
              <w:rPr>
                <w:rFonts w:ascii="宋体" w:hAnsi="宋体" w:cs="Tahoma"/>
                <w:color w:val="auto"/>
                <w:szCs w:val="21"/>
              </w:rPr>
            </w:pPr>
            <w:r>
              <w:rPr>
                <w:rFonts w:hint="eastAsia" w:ascii="宋体" w:hAnsi="宋体" w:cs="Tahoma"/>
                <w:color w:val="auto"/>
                <w:szCs w:val="21"/>
              </w:rPr>
              <w:t>排土场</w:t>
            </w:r>
          </w:p>
        </w:tc>
        <w:tc>
          <w:tcPr>
            <w:tcW w:w="5115" w:type="dxa"/>
            <w:vAlign w:val="center"/>
          </w:tcPr>
          <w:p>
            <w:pPr>
              <w:keepNext w:val="0"/>
              <w:keepLines w:val="0"/>
              <w:pageBreakBefore w:val="0"/>
              <w:widowControl/>
              <w:kinsoku/>
              <w:wordWrap/>
              <w:overflowPunct/>
              <w:topLinePunct w:val="0"/>
              <w:bidi w:val="0"/>
              <w:adjustRightInd/>
              <w:snapToGrid/>
              <w:spacing w:line="240" w:lineRule="exact"/>
              <w:textAlignment w:val="auto"/>
              <w:rPr>
                <w:rFonts w:ascii="宋体" w:hAnsi="宋体"/>
                <w:bCs/>
                <w:color w:val="auto"/>
                <w:szCs w:val="21"/>
              </w:rPr>
            </w:pPr>
            <w:r>
              <w:rPr>
                <w:rFonts w:hint="eastAsia" w:ascii="宋体" w:hAnsi="宋体"/>
                <w:bCs/>
                <w:color w:val="auto"/>
                <w:szCs w:val="21"/>
              </w:rPr>
              <w:t>排土场不应受洪水威胁或者由于上游汇水造成滑坡、塌方、泥石流等灾害。</w:t>
            </w:r>
          </w:p>
        </w:tc>
        <w:tc>
          <w:tcPr>
            <w:tcW w:w="2134" w:type="dxa"/>
            <w:vAlign w:val="center"/>
          </w:tcPr>
          <w:p>
            <w:pPr>
              <w:keepNext w:val="0"/>
              <w:keepLines w:val="0"/>
              <w:pageBreakBefore w:val="0"/>
              <w:widowControl/>
              <w:kinsoku/>
              <w:wordWrap/>
              <w:overflowPunct/>
              <w:topLinePunct w:val="0"/>
              <w:bidi w:val="0"/>
              <w:adjustRightInd/>
              <w:snapToGrid/>
              <w:spacing w:line="240" w:lineRule="exact"/>
              <w:jc w:val="center"/>
              <w:textAlignment w:val="auto"/>
              <w:rPr>
                <w:rFonts w:ascii="宋体" w:hAnsi="宋体"/>
                <w:bCs/>
                <w:color w:val="auto"/>
                <w:szCs w:val="21"/>
              </w:rPr>
            </w:pPr>
            <w:r>
              <w:rPr>
                <w:rFonts w:hint="eastAsia" w:ascii="宋体" w:hAnsi="宋体"/>
                <w:bCs/>
                <w:color w:val="auto"/>
                <w:szCs w:val="21"/>
              </w:rPr>
              <w:t>《金属非金属矿山安全规程》第</w:t>
            </w:r>
            <w:r>
              <w:rPr>
                <w:rFonts w:ascii="宋体" w:hAnsi="宋体"/>
                <w:bCs/>
                <w:color w:val="auto"/>
                <w:szCs w:val="21"/>
              </w:rPr>
              <w:t>5.5.1.1</w:t>
            </w:r>
            <w:r>
              <w:rPr>
                <w:rFonts w:hint="eastAsia" w:ascii="宋体" w:hAnsi="宋体"/>
                <w:bCs/>
                <w:color w:val="auto"/>
                <w:szCs w:val="21"/>
              </w:rPr>
              <w:t>条</w:t>
            </w:r>
          </w:p>
        </w:tc>
        <w:tc>
          <w:tcPr>
            <w:tcW w:w="846" w:type="dxa"/>
            <w:vAlign w:val="center"/>
          </w:tcPr>
          <w:p>
            <w:pPr>
              <w:keepNext w:val="0"/>
              <w:keepLines w:val="0"/>
              <w:pageBreakBefore w:val="0"/>
              <w:widowControl/>
              <w:kinsoku/>
              <w:wordWrap/>
              <w:overflowPunct/>
              <w:topLinePunct w:val="0"/>
              <w:bidi w:val="0"/>
              <w:adjustRightInd/>
              <w:snapToGrid/>
              <w:spacing w:line="240" w:lineRule="exact"/>
              <w:jc w:val="center"/>
              <w:textAlignment w:val="auto"/>
              <w:rPr>
                <w:rFonts w:ascii="宋体" w:hAnsi="宋体"/>
                <w:bCs/>
                <w:color w:val="auto"/>
                <w:szCs w:val="21"/>
              </w:rPr>
            </w:pPr>
            <w:r>
              <w:rPr>
                <w:rFonts w:hint="eastAsia" w:ascii="宋体" w:hAnsi="宋体"/>
                <w:bCs/>
                <w:color w:val="auto"/>
                <w:szCs w:val="21"/>
              </w:rPr>
              <w:t>符合</w:t>
            </w:r>
          </w:p>
        </w:tc>
        <w:tc>
          <w:tcPr>
            <w:tcW w:w="4290" w:type="dxa"/>
            <w:vAlign w:val="center"/>
          </w:tcPr>
          <w:p>
            <w:pPr>
              <w:keepNext w:val="0"/>
              <w:keepLines w:val="0"/>
              <w:pageBreakBefore w:val="0"/>
              <w:widowControl/>
              <w:kinsoku/>
              <w:wordWrap/>
              <w:overflowPunct/>
              <w:topLinePunct w:val="0"/>
              <w:bidi w:val="0"/>
              <w:adjustRightInd/>
              <w:snapToGrid/>
              <w:spacing w:line="240" w:lineRule="exact"/>
              <w:textAlignment w:val="auto"/>
              <w:rPr>
                <w:rFonts w:ascii="宋体" w:hAnsi="宋体"/>
                <w:bCs/>
                <w:color w:val="auto"/>
                <w:szCs w:val="21"/>
              </w:rPr>
            </w:pPr>
            <w:r>
              <w:rPr>
                <w:rFonts w:hint="eastAsia" w:ascii="宋体" w:hAnsi="宋体"/>
                <w:bCs/>
                <w:color w:val="auto"/>
                <w:szCs w:val="21"/>
              </w:rPr>
              <w:t>排土场不受洪水威胁或者由于上游汇水造成滑坡、塌方、泥石流等灾害。</w:t>
            </w:r>
          </w:p>
        </w:tc>
      </w:tr>
    </w:tbl>
    <w:p>
      <w:pPr>
        <w:widowControl/>
        <w:spacing w:line="500" w:lineRule="exact"/>
        <w:ind w:firstLine="480" w:firstLineChars="200"/>
        <w:rPr>
          <w:rFonts w:ascii="宋体" w:hAnsi="宋体"/>
          <w:color w:val="auto"/>
          <w:sz w:val="24"/>
        </w:rPr>
      </w:pPr>
      <w:r>
        <w:rPr>
          <w:rFonts w:hint="eastAsia" w:ascii="宋体" w:hAnsi="宋体"/>
          <w:color w:val="auto"/>
          <w:sz w:val="24"/>
        </w:rPr>
        <w:t>评价结果：总平面布置符合相关标准、规范要求。</w:t>
      </w:r>
    </w:p>
    <w:p>
      <w:pPr>
        <w:pStyle w:val="4"/>
        <w:keepLines w:val="0"/>
        <w:widowControl/>
        <w:spacing w:before="120" w:after="120" w:line="500" w:lineRule="exact"/>
        <w:rPr>
          <w:rFonts w:ascii="宋体" w:hAnsi="宋体" w:eastAsia="宋体"/>
          <w:b/>
          <w:bCs w:val="0"/>
          <w:color w:val="auto"/>
          <w:kern w:val="28"/>
          <w:sz w:val="28"/>
          <w:szCs w:val="28"/>
        </w:rPr>
      </w:pPr>
      <w:bookmarkStart w:id="185" w:name="_Toc150262777"/>
      <w:bookmarkStart w:id="186" w:name="_Toc21511323"/>
      <w:r>
        <w:rPr>
          <w:rFonts w:hint="eastAsia" w:ascii="宋体" w:hAnsi="宋体" w:eastAsia="宋体"/>
          <w:b/>
          <w:bCs w:val="0"/>
          <w:color w:val="auto"/>
          <w:kern w:val="28"/>
          <w:sz w:val="28"/>
          <w:szCs w:val="28"/>
        </w:rPr>
        <w:t>3.</w:t>
      </w:r>
      <w:r>
        <w:rPr>
          <w:rFonts w:ascii="宋体" w:hAnsi="宋体" w:eastAsia="宋体"/>
          <w:b/>
          <w:bCs w:val="0"/>
          <w:color w:val="auto"/>
          <w:kern w:val="28"/>
          <w:sz w:val="28"/>
          <w:szCs w:val="28"/>
        </w:rPr>
        <w:t>3</w:t>
      </w:r>
      <w:r>
        <w:rPr>
          <w:rFonts w:hint="eastAsia" w:ascii="宋体" w:hAnsi="宋体" w:eastAsia="宋体"/>
          <w:b/>
          <w:bCs w:val="0"/>
          <w:color w:val="auto"/>
          <w:kern w:val="28"/>
          <w:sz w:val="28"/>
          <w:szCs w:val="28"/>
        </w:rPr>
        <w:t>开拓运输单元评价</w:t>
      </w:r>
      <w:bookmarkEnd w:id="185"/>
      <w:bookmarkEnd w:id="186"/>
    </w:p>
    <w:p>
      <w:pPr>
        <w:pStyle w:val="5"/>
        <w:keepLines w:val="0"/>
        <w:widowControl/>
        <w:spacing w:before="120" w:after="120" w:line="500" w:lineRule="exact"/>
        <w:rPr>
          <w:rFonts w:ascii="宋体" w:hAnsi="宋体"/>
          <w:color w:val="auto"/>
          <w:kern w:val="28"/>
          <w:sz w:val="28"/>
          <w:szCs w:val="28"/>
        </w:rPr>
      </w:pPr>
      <w:r>
        <w:rPr>
          <w:rFonts w:hint="eastAsia" w:ascii="宋体" w:hAnsi="宋体"/>
          <w:color w:val="auto"/>
          <w:kern w:val="28"/>
          <w:sz w:val="28"/>
          <w:szCs w:val="28"/>
        </w:rPr>
        <w:t>3.</w:t>
      </w:r>
      <w:r>
        <w:rPr>
          <w:rFonts w:ascii="宋体" w:hAnsi="宋体"/>
          <w:color w:val="auto"/>
          <w:kern w:val="28"/>
          <w:sz w:val="28"/>
          <w:szCs w:val="28"/>
        </w:rPr>
        <w:t>3</w:t>
      </w:r>
      <w:r>
        <w:rPr>
          <w:rFonts w:hint="eastAsia" w:ascii="宋体" w:hAnsi="宋体"/>
          <w:color w:val="auto"/>
          <w:kern w:val="28"/>
          <w:sz w:val="28"/>
          <w:szCs w:val="28"/>
        </w:rPr>
        <w:t>.1开拓运输单元符合性评价</w:t>
      </w:r>
    </w:p>
    <w:p>
      <w:pPr>
        <w:widowControl/>
        <w:spacing w:line="500" w:lineRule="exact"/>
        <w:ind w:firstLine="480" w:firstLineChars="200"/>
        <w:rPr>
          <w:rFonts w:ascii="宋体" w:hAnsi="宋体"/>
          <w:color w:val="auto"/>
          <w:sz w:val="24"/>
        </w:rPr>
      </w:pPr>
      <w:r>
        <w:rPr>
          <w:rFonts w:hint="eastAsia" w:ascii="宋体" w:hAnsi="宋体"/>
          <w:color w:val="auto"/>
          <w:sz w:val="24"/>
        </w:rPr>
        <w:t>可行性研究报告</w:t>
      </w:r>
      <w:r>
        <w:rPr>
          <w:rFonts w:ascii="宋体" w:hAnsi="宋体"/>
          <w:color w:val="auto"/>
          <w:sz w:val="24"/>
        </w:rPr>
        <w:t>中，</w:t>
      </w:r>
      <w:r>
        <w:rPr>
          <w:rFonts w:hint="eastAsia" w:ascii="宋体" w:hAnsi="宋体"/>
          <w:color w:val="auto"/>
          <w:sz w:val="24"/>
        </w:rPr>
        <w:t>矿山运输系统拟选用</w:t>
      </w:r>
      <w:r>
        <w:rPr>
          <w:rFonts w:ascii="宋体" w:hAnsi="宋体"/>
          <w:color w:val="auto"/>
          <w:sz w:val="24"/>
        </w:rPr>
        <w:t>2</w:t>
      </w:r>
      <w:r>
        <w:rPr>
          <w:rFonts w:hint="eastAsia" w:ascii="宋体" w:hAnsi="宋体"/>
          <w:color w:val="auto"/>
          <w:sz w:val="24"/>
        </w:rPr>
        <w:t>辆</w:t>
      </w:r>
      <w:r>
        <w:rPr>
          <w:rFonts w:ascii="宋体" w:hAnsi="宋体"/>
          <w:color w:val="auto"/>
          <w:sz w:val="24"/>
        </w:rPr>
        <w:t>1</w:t>
      </w:r>
      <w:r>
        <w:rPr>
          <w:rFonts w:hint="eastAsia" w:ascii="宋体" w:hAnsi="宋体"/>
          <w:color w:val="auto"/>
          <w:sz w:val="24"/>
        </w:rPr>
        <w:t>0</w:t>
      </w:r>
      <w:r>
        <w:rPr>
          <w:rFonts w:ascii="宋体" w:hAnsi="宋体"/>
          <w:color w:val="auto"/>
          <w:sz w:val="24"/>
        </w:rPr>
        <w:t>t自卸汽车</w:t>
      </w:r>
      <w:r>
        <w:rPr>
          <w:rFonts w:hint="eastAsia" w:ascii="宋体" w:hAnsi="宋体"/>
          <w:color w:val="auto"/>
          <w:sz w:val="24"/>
        </w:rPr>
        <w:t>，采用三级露天矿山道路，泥结石路面，行车速度为</w:t>
      </w:r>
      <w:r>
        <w:rPr>
          <w:rFonts w:ascii="宋体" w:hAnsi="宋体"/>
          <w:color w:val="auto"/>
          <w:sz w:val="24"/>
        </w:rPr>
        <w:t>15</w:t>
      </w:r>
      <w:r>
        <w:rPr>
          <w:rFonts w:hint="eastAsia" w:ascii="宋体" w:hAnsi="宋体"/>
          <w:color w:val="auto"/>
          <w:sz w:val="24"/>
        </w:rPr>
        <w:t>km/h，单车道路面，宽</w:t>
      </w:r>
      <w:r>
        <w:rPr>
          <w:rFonts w:ascii="宋体" w:hAnsi="宋体"/>
          <w:color w:val="auto"/>
          <w:sz w:val="24"/>
        </w:rPr>
        <w:t>3</w:t>
      </w:r>
      <w:r>
        <w:rPr>
          <w:rFonts w:hint="eastAsia" w:ascii="宋体" w:hAnsi="宋体"/>
          <w:color w:val="auto"/>
          <w:sz w:val="24"/>
        </w:rPr>
        <w:t>m</w:t>
      </w:r>
      <w:r>
        <w:rPr>
          <w:rFonts w:ascii="宋体" w:hAnsi="宋体"/>
          <w:color w:val="auto"/>
          <w:sz w:val="24"/>
        </w:rPr>
        <w:t xml:space="preserve"> </w:t>
      </w:r>
      <w:r>
        <w:rPr>
          <w:rFonts w:hint="eastAsia" w:ascii="宋体" w:hAnsi="宋体"/>
          <w:color w:val="auto"/>
          <w:sz w:val="24"/>
        </w:rPr>
        <w:t>，最小圆曲线半径为15m，最大纵坡不大于10%。山坡填方的弯道、坡度较大的填方地段以及高堤路基路段弯外侧应设置护栏、挡车墙和醒目行车警示牌等。</w:t>
      </w:r>
    </w:p>
    <w:p>
      <w:pPr>
        <w:widowControl/>
        <w:spacing w:line="500" w:lineRule="exact"/>
        <w:ind w:firstLine="480" w:firstLineChars="200"/>
        <w:rPr>
          <w:rFonts w:hint="eastAsia" w:ascii="宋体" w:hAnsi="宋体"/>
          <w:color w:val="auto"/>
          <w:sz w:val="24"/>
        </w:rPr>
      </w:pPr>
      <w:r>
        <w:rPr>
          <w:rFonts w:hint="eastAsia" w:ascii="宋体" w:hAnsi="宋体"/>
          <w:color w:val="auto"/>
          <w:sz w:val="24"/>
        </w:rPr>
        <w:t>该运输道路宽度不满足《厂矿道路设计规范》的相关要求，建议下步安全设施设计</w:t>
      </w:r>
      <w:r>
        <w:rPr>
          <w:rFonts w:hint="eastAsia" w:ascii="宋体" w:hAnsi="宋体"/>
          <w:color w:val="auto"/>
          <w:sz w:val="24"/>
          <w:lang w:val="zh-CN"/>
        </w:rPr>
        <w:t>重新对其进行设计；</w:t>
      </w:r>
      <w:r>
        <w:rPr>
          <w:rFonts w:hint="eastAsia" w:ascii="宋体" w:hAnsi="宋体"/>
          <w:color w:val="auto"/>
          <w:sz w:val="24"/>
        </w:rPr>
        <w:t>可行性研究报告未提出运输公路安全设施，建议矿山下一步设计在转弯、陡峻的运输公路内侧设置截排水沟。</w:t>
      </w:r>
    </w:p>
    <w:p>
      <w:pPr>
        <w:pStyle w:val="5"/>
        <w:keepLines w:val="0"/>
        <w:widowControl/>
        <w:spacing w:before="120" w:after="120" w:line="500" w:lineRule="exact"/>
        <w:rPr>
          <w:rFonts w:ascii="宋体" w:hAnsi="宋体"/>
          <w:color w:val="auto"/>
          <w:kern w:val="28"/>
          <w:sz w:val="28"/>
          <w:szCs w:val="28"/>
        </w:rPr>
      </w:pPr>
      <w:r>
        <w:rPr>
          <w:rFonts w:hint="eastAsia" w:ascii="宋体" w:hAnsi="宋体"/>
          <w:color w:val="auto"/>
          <w:kern w:val="28"/>
          <w:sz w:val="28"/>
          <w:szCs w:val="28"/>
        </w:rPr>
        <w:t>3.</w:t>
      </w:r>
      <w:r>
        <w:rPr>
          <w:rFonts w:ascii="宋体" w:hAnsi="宋体"/>
          <w:color w:val="auto"/>
          <w:kern w:val="28"/>
          <w:sz w:val="28"/>
          <w:szCs w:val="28"/>
        </w:rPr>
        <w:t>3</w:t>
      </w:r>
      <w:r>
        <w:rPr>
          <w:rFonts w:hint="eastAsia" w:ascii="宋体" w:hAnsi="宋体"/>
          <w:color w:val="auto"/>
          <w:kern w:val="28"/>
          <w:sz w:val="28"/>
          <w:szCs w:val="28"/>
        </w:rPr>
        <w:t>.2运输单元预先危险性分析法</w:t>
      </w:r>
    </w:p>
    <w:p>
      <w:pPr>
        <w:rPr>
          <w:rFonts w:hint="eastAsia" w:ascii="宋体" w:hAnsi="宋体"/>
          <w:b/>
          <w:color w:val="auto"/>
          <w:sz w:val="24"/>
        </w:rPr>
      </w:pPr>
      <w:r>
        <w:rPr>
          <w:rFonts w:hint="eastAsia" w:ascii="宋体" w:hAnsi="宋体"/>
          <w:b/>
          <w:color w:val="auto"/>
          <w:sz w:val="24"/>
        </w:rPr>
        <w:br w:type="page"/>
      </w:r>
    </w:p>
    <w:p>
      <w:pPr>
        <w:widowControl/>
        <w:spacing w:line="500" w:lineRule="exact"/>
        <w:jc w:val="center"/>
        <w:outlineLvl w:val="4"/>
        <w:rPr>
          <w:rFonts w:ascii="宋体" w:hAnsi="宋体"/>
          <w:b/>
          <w:color w:val="auto"/>
          <w:sz w:val="24"/>
        </w:rPr>
      </w:pPr>
      <w:r>
        <w:rPr>
          <w:rFonts w:hint="eastAsia" w:ascii="宋体" w:hAnsi="宋体"/>
          <w:b/>
          <w:color w:val="auto"/>
          <w:sz w:val="24"/>
        </w:rPr>
        <w:t>表</w:t>
      </w:r>
      <w:r>
        <w:rPr>
          <w:rFonts w:ascii="宋体" w:hAnsi="宋体"/>
          <w:b/>
          <w:color w:val="auto"/>
          <w:sz w:val="24"/>
        </w:rPr>
        <w:t>3</w:t>
      </w:r>
      <w:r>
        <w:rPr>
          <w:rFonts w:hint="eastAsia" w:ascii="宋体" w:hAnsi="宋体"/>
          <w:b/>
          <w:color w:val="auto"/>
          <w:sz w:val="24"/>
        </w:rPr>
        <w:t>-</w:t>
      </w:r>
      <w:r>
        <w:rPr>
          <w:rFonts w:ascii="宋体" w:hAnsi="宋体"/>
          <w:b/>
          <w:color w:val="auto"/>
          <w:sz w:val="24"/>
        </w:rPr>
        <w:t xml:space="preserve">3 </w:t>
      </w:r>
      <w:r>
        <w:rPr>
          <w:rFonts w:hint="eastAsia" w:ascii="宋体" w:hAnsi="宋体"/>
          <w:b/>
          <w:color w:val="auto"/>
          <w:sz w:val="24"/>
        </w:rPr>
        <w:t>运输单元分析评价</w:t>
      </w:r>
    </w:p>
    <w:tbl>
      <w:tblPr>
        <w:tblStyle w:val="41"/>
        <w:tblW w:w="14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1134"/>
        <w:gridCol w:w="907"/>
        <w:gridCol w:w="4552"/>
        <w:gridCol w:w="1087"/>
        <w:gridCol w:w="881"/>
        <w:gridCol w:w="49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94" w:type="dxa"/>
            <w:vAlign w:val="center"/>
          </w:tcPr>
          <w:p>
            <w:pPr>
              <w:keepNext w:val="0"/>
              <w:keepLines w:val="0"/>
              <w:pageBreakBefore w:val="0"/>
              <w:widowControl/>
              <w:kinsoku/>
              <w:wordWrap/>
              <w:overflowPunct/>
              <w:topLinePunct w:val="0"/>
              <w:bidi w:val="0"/>
              <w:snapToGrid/>
              <w:spacing w:line="240" w:lineRule="exact"/>
              <w:jc w:val="center"/>
              <w:textAlignment w:val="auto"/>
              <w:rPr>
                <w:rFonts w:ascii="宋体" w:hAnsi="宋体"/>
                <w:b/>
                <w:color w:val="auto"/>
                <w:szCs w:val="21"/>
              </w:rPr>
            </w:pPr>
            <w:r>
              <w:rPr>
                <w:rFonts w:hint="eastAsia" w:ascii="宋体" w:hAnsi="宋体"/>
                <w:b/>
                <w:color w:val="auto"/>
                <w:szCs w:val="21"/>
              </w:rPr>
              <w:t>序号</w:t>
            </w:r>
          </w:p>
        </w:tc>
        <w:tc>
          <w:tcPr>
            <w:tcW w:w="1134" w:type="dxa"/>
            <w:vAlign w:val="center"/>
          </w:tcPr>
          <w:p>
            <w:pPr>
              <w:keepNext w:val="0"/>
              <w:keepLines w:val="0"/>
              <w:pageBreakBefore w:val="0"/>
              <w:widowControl/>
              <w:kinsoku/>
              <w:wordWrap/>
              <w:overflowPunct/>
              <w:topLinePunct w:val="0"/>
              <w:bidi w:val="0"/>
              <w:snapToGrid/>
              <w:spacing w:line="240" w:lineRule="exact"/>
              <w:jc w:val="center"/>
              <w:textAlignment w:val="auto"/>
              <w:rPr>
                <w:rFonts w:ascii="宋体" w:hAnsi="宋体"/>
                <w:b/>
                <w:color w:val="auto"/>
                <w:szCs w:val="21"/>
              </w:rPr>
            </w:pPr>
            <w:r>
              <w:rPr>
                <w:rFonts w:hint="eastAsia" w:ascii="宋体" w:hAnsi="宋体"/>
                <w:b/>
                <w:color w:val="auto"/>
                <w:szCs w:val="21"/>
              </w:rPr>
              <w:t>主要危险源位置</w:t>
            </w:r>
          </w:p>
        </w:tc>
        <w:tc>
          <w:tcPr>
            <w:tcW w:w="907" w:type="dxa"/>
            <w:vAlign w:val="center"/>
          </w:tcPr>
          <w:p>
            <w:pPr>
              <w:keepNext w:val="0"/>
              <w:keepLines w:val="0"/>
              <w:pageBreakBefore w:val="0"/>
              <w:widowControl/>
              <w:kinsoku/>
              <w:wordWrap/>
              <w:overflowPunct/>
              <w:topLinePunct w:val="0"/>
              <w:bidi w:val="0"/>
              <w:snapToGrid/>
              <w:spacing w:line="240" w:lineRule="exact"/>
              <w:jc w:val="center"/>
              <w:textAlignment w:val="auto"/>
              <w:rPr>
                <w:rFonts w:ascii="宋体" w:hAnsi="宋体"/>
                <w:b/>
                <w:color w:val="auto"/>
                <w:szCs w:val="21"/>
              </w:rPr>
            </w:pPr>
            <w:r>
              <w:rPr>
                <w:rFonts w:hint="eastAsia" w:ascii="宋体" w:hAnsi="宋体"/>
                <w:b/>
                <w:color w:val="auto"/>
                <w:szCs w:val="21"/>
              </w:rPr>
              <w:t>潜在事故类型</w:t>
            </w:r>
          </w:p>
        </w:tc>
        <w:tc>
          <w:tcPr>
            <w:tcW w:w="4552" w:type="dxa"/>
            <w:vAlign w:val="center"/>
          </w:tcPr>
          <w:p>
            <w:pPr>
              <w:keepNext w:val="0"/>
              <w:keepLines w:val="0"/>
              <w:pageBreakBefore w:val="0"/>
              <w:widowControl/>
              <w:kinsoku/>
              <w:wordWrap/>
              <w:overflowPunct/>
              <w:topLinePunct w:val="0"/>
              <w:bidi w:val="0"/>
              <w:snapToGrid/>
              <w:spacing w:line="240" w:lineRule="exact"/>
              <w:jc w:val="center"/>
              <w:textAlignment w:val="auto"/>
              <w:rPr>
                <w:rFonts w:ascii="宋体" w:hAnsi="宋体"/>
                <w:b/>
                <w:color w:val="auto"/>
                <w:szCs w:val="21"/>
              </w:rPr>
            </w:pPr>
            <w:r>
              <w:rPr>
                <w:rFonts w:hint="eastAsia" w:ascii="宋体" w:hAnsi="宋体"/>
                <w:b/>
                <w:color w:val="auto"/>
                <w:szCs w:val="21"/>
              </w:rPr>
              <w:t>触发条件</w:t>
            </w:r>
          </w:p>
        </w:tc>
        <w:tc>
          <w:tcPr>
            <w:tcW w:w="1087" w:type="dxa"/>
            <w:vAlign w:val="center"/>
          </w:tcPr>
          <w:p>
            <w:pPr>
              <w:keepNext w:val="0"/>
              <w:keepLines w:val="0"/>
              <w:pageBreakBefore w:val="0"/>
              <w:widowControl/>
              <w:kinsoku/>
              <w:wordWrap/>
              <w:overflowPunct/>
              <w:topLinePunct w:val="0"/>
              <w:bidi w:val="0"/>
              <w:snapToGrid/>
              <w:spacing w:line="240" w:lineRule="exact"/>
              <w:jc w:val="center"/>
              <w:textAlignment w:val="auto"/>
              <w:rPr>
                <w:rFonts w:ascii="宋体" w:hAnsi="宋体"/>
                <w:b/>
                <w:color w:val="auto"/>
                <w:szCs w:val="21"/>
              </w:rPr>
            </w:pPr>
            <w:r>
              <w:rPr>
                <w:rFonts w:hint="eastAsia" w:ascii="宋体" w:hAnsi="宋体"/>
                <w:b/>
                <w:color w:val="auto"/>
                <w:szCs w:val="21"/>
              </w:rPr>
              <w:t>可能导致的后果</w:t>
            </w:r>
          </w:p>
        </w:tc>
        <w:tc>
          <w:tcPr>
            <w:tcW w:w="881" w:type="dxa"/>
            <w:vAlign w:val="center"/>
          </w:tcPr>
          <w:p>
            <w:pPr>
              <w:keepNext w:val="0"/>
              <w:keepLines w:val="0"/>
              <w:pageBreakBefore w:val="0"/>
              <w:widowControl/>
              <w:kinsoku/>
              <w:wordWrap/>
              <w:overflowPunct/>
              <w:topLinePunct w:val="0"/>
              <w:bidi w:val="0"/>
              <w:snapToGrid/>
              <w:spacing w:line="240" w:lineRule="exact"/>
              <w:jc w:val="center"/>
              <w:textAlignment w:val="auto"/>
              <w:rPr>
                <w:rFonts w:ascii="宋体" w:hAnsi="宋体"/>
                <w:b/>
                <w:color w:val="auto"/>
                <w:szCs w:val="21"/>
              </w:rPr>
            </w:pPr>
            <w:r>
              <w:rPr>
                <w:rFonts w:hint="eastAsia" w:ascii="宋体" w:hAnsi="宋体"/>
                <w:b/>
                <w:color w:val="auto"/>
                <w:szCs w:val="21"/>
              </w:rPr>
              <w:t>危险性</w:t>
            </w:r>
          </w:p>
          <w:p>
            <w:pPr>
              <w:keepNext w:val="0"/>
              <w:keepLines w:val="0"/>
              <w:pageBreakBefore w:val="0"/>
              <w:widowControl/>
              <w:kinsoku/>
              <w:wordWrap/>
              <w:overflowPunct/>
              <w:topLinePunct w:val="0"/>
              <w:bidi w:val="0"/>
              <w:snapToGrid/>
              <w:spacing w:line="240" w:lineRule="exact"/>
              <w:jc w:val="center"/>
              <w:textAlignment w:val="auto"/>
              <w:rPr>
                <w:rFonts w:ascii="宋体" w:hAnsi="宋体"/>
                <w:b/>
                <w:color w:val="auto"/>
                <w:szCs w:val="21"/>
              </w:rPr>
            </w:pPr>
            <w:r>
              <w:rPr>
                <w:rFonts w:hint="eastAsia" w:ascii="宋体" w:hAnsi="宋体"/>
                <w:b/>
                <w:color w:val="auto"/>
                <w:szCs w:val="21"/>
              </w:rPr>
              <w:t>等级</w:t>
            </w:r>
          </w:p>
        </w:tc>
        <w:tc>
          <w:tcPr>
            <w:tcW w:w="4932" w:type="dxa"/>
            <w:vAlign w:val="center"/>
          </w:tcPr>
          <w:p>
            <w:pPr>
              <w:keepNext w:val="0"/>
              <w:keepLines w:val="0"/>
              <w:pageBreakBefore w:val="0"/>
              <w:widowControl/>
              <w:kinsoku/>
              <w:wordWrap/>
              <w:overflowPunct/>
              <w:topLinePunct w:val="0"/>
              <w:bidi w:val="0"/>
              <w:snapToGrid/>
              <w:spacing w:line="240" w:lineRule="exact"/>
              <w:jc w:val="center"/>
              <w:textAlignment w:val="auto"/>
              <w:rPr>
                <w:rFonts w:ascii="宋体" w:hAnsi="宋体"/>
                <w:b/>
                <w:color w:val="auto"/>
                <w:szCs w:val="21"/>
              </w:rPr>
            </w:pPr>
            <w:r>
              <w:rPr>
                <w:rFonts w:hint="eastAsia" w:ascii="宋体" w:hAnsi="宋体"/>
                <w:b/>
                <w:color w:val="auto"/>
                <w:szCs w:val="21"/>
              </w:rPr>
              <w:t>防范措施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dxa"/>
            <w:vMerge w:val="restart"/>
            <w:vAlign w:val="center"/>
          </w:tcPr>
          <w:p>
            <w:pPr>
              <w:keepNext w:val="0"/>
              <w:keepLines w:val="0"/>
              <w:pageBreakBefore w:val="0"/>
              <w:widowControl/>
              <w:kinsoku/>
              <w:wordWrap/>
              <w:overflowPunct/>
              <w:topLinePunct w:val="0"/>
              <w:bidi w:val="0"/>
              <w:snapToGrid/>
              <w:spacing w:line="240" w:lineRule="exact"/>
              <w:jc w:val="center"/>
              <w:textAlignment w:val="auto"/>
              <w:rPr>
                <w:rFonts w:ascii="宋体" w:hAnsi="宋体"/>
                <w:color w:val="auto"/>
                <w:szCs w:val="21"/>
              </w:rPr>
            </w:pPr>
            <w:r>
              <w:rPr>
                <w:rFonts w:hint="eastAsia" w:ascii="宋体" w:hAnsi="宋体"/>
                <w:color w:val="auto"/>
                <w:szCs w:val="21"/>
              </w:rPr>
              <w:t>1</w:t>
            </w:r>
          </w:p>
        </w:tc>
        <w:tc>
          <w:tcPr>
            <w:tcW w:w="1134" w:type="dxa"/>
            <w:vMerge w:val="restart"/>
            <w:vAlign w:val="center"/>
          </w:tcPr>
          <w:p>
            <w:pPr>
              <w:keepNext w:val="0"/>
              <w:keepLines w:val="0"/>
              <w:pageBreakBefore w:val="0"/>
              <w:widowControl/>
              <w:kinsoku/>
              <w:wordWrap/>
              <w:overflowPunct/>
              <w:topLinePunct w:val="0"/>
              <w:bidi w:val="0"/>
              <w:snapToGrid/>
              <w:spacing w:line="240" w:lineRule="exact"/>
              <w:jc w:val="center"/>
              <w:textAlignment w:val="auto"/>
              <w:rPr>
                <w:rFonts w:ascii="宋体" w:hAnsi="宋体"/>
                <w:color w:val="auto"/>
                <w:szCs w:val="21"/>
              </w:rPr>
            </w:pPr>
            <w:r>
              <w:rPr>
                <w:rFonts w:hint="eastAsia" w:ascii="宋体" w:hAnsi="宋体" w:cs="Tahoma"/>
                <w:color w:val="auto"/>
                <w:szCs w:val="21"/>
              </w:rPr>
              <w:t>运输道路</w:t>
            </w:r>
          </w:p>
        </w:tc>
        <w:tc>
          <w:tcPr>
            <w:tcW w:w="907" w:type="dxa"/>
            <w:vAlign w:val="center"/>
          </w:tcPr>
          <w:p>
            <w:pPr>
              <w:keepNext w:val="0"/>
              <w:keepLines w:val="0"/>
              <w:pageBreakBefore w:val="0"/>
              <w:widowControl/>
              <w:kinsoku/>
              <w:wordWrap/>
              <w:overflowPunct/>
              <w:topLinePunct w:val="0"/>
              <w:bidi w:val="0"/>
              <w:snapToGrid/>
              <w:spacing w:line="240" w:lineRule="exact"/>
              <w:jc w:val="center"/>
              <w:textAlignment w:val="auto"/>
              <w:rPr>
                <w:rFonts w:ascii="宋体" w:hAnsi="宋体"/>
                <w:color w:val="auto"/>
                <w:szCs w:val="21"/>
              </w:rPr>
            </w:pPr>
            <w:r>
              <w:rPr>
                <w:rFonts w:hint="eastAsia" w:ascii="宋体" w:hAnsi="宋体"/>
                <w:color w:val="auto"/>
                <w:szCs w:val="21"/>
              </w:rPr>
              <w:t>车辆</w:t>
            </w:r>
          </w:p>
          <w:p>
            <w:pPr>
              <w:keepNext w:val="0"/>
              <w:keepLines w:val="0"/>
              <w:pageBreakBefore w:val="0"/>
              <w:widowControl/>
              <w:kinsoku/>
              <w:wordWrap/>
              <w:overflowPunct/>
              <w:topLinePunct w:val="0"/>
              <w:bidi w:val="0"/>
              <w:snapToGrid/>
              <w:spacing w:line="240" w:lineRule="exact"/>
              <w:jc w:val="center"/>
              <w:textAlignment w:val="auto"/>
              <w:rPr>
                <w:rFonts w:ascii="宋体" w:hAnsi="宋体"/>
                <w:color w:val="auto"/>
                <w:szCs w:val="21"/>
              </w:rPr>
            </w:pPr>
            <w:r>
              <w:rPr>
                <w:rFonts w:hint="eastAsia" w:ascii="宋体" w:hAnsi="宋体"/>
                <w:color w:val="auto"/>
                <w:szCs w:val="21"/>
              </w:rPr>
              <w:t>伤害</w:t>
            </w:r>
          </w:p>
        </w:tc>
        <w:tc>
          <w:tcPr>
            <w:tcW w:w="4552" w:type="dxa"/>
            <w:vAlign w:val="center"/>
          </w:tcPr>
          <w:p>
            <w:pPr>
              <w:keepNext w:val="0"/>
              <w:keepLines w:val="0"/>
              <w:pageBreakBefore w:val="0"/>
              <w:widowControl/>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（1）设计的开拓运输方式不合理或矿山作业过程中未按照设计的开拓运输方式进行作业。</w:t>
            </w:r>
          </w:p>
          <w:p>
            <w:pPr>
              <w:keepNext w:val="0"/>
              <w:keepLines w:val="0"/>
              <w:pageBreakBefore w:val="0"/>
              <w:widowControl/>
              <w:tabs>
                <w:tab w:val="left" w:pos="1260"/>
                <w:tab w:val="left" w:leader="middleDot" w:pos="7560"/>
              </w:tabs>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（2）矿山运输线路偏陡。</w:t>
            </w:r>
          </w:p>
          <w:p>
            <w:pPr>
              <w:keepNext w:val="0"/>
              <w:keepLines w:val="0"/>
              <w:pageBreakBefore w:val="0"/>
              <w:widowControl/>
              <w:tabs>
                <w:tab w:val="left" w:pos="1260"/>
                <w:tab w:val="left" w:leader="middleDot" w:pos="7560"/>
              </w:tabs>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（3）未设置错车道或错车道之间距离过大。</w:t>
            </w:r>
          </w:p>
          <w:p>
            <w:pPr>
              <w:keepNext w:val="0"/>
              <w:keepLines w:val="0"/>
              <w:pageBreakBefore w:val="0"/>
              <w:widowControl/>
              <w:tabs>
                <w:tab w:val="left" w:pos="1260"/>
                <w:tab w:val="left" w:leader="middleDot" w:pos="7560"/>
              </w:tabs>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（4）路面宽度不足。</w:t>
            </w:r>
          </w:p>
          <w:p>
            <w:pPr>
              <w:keepNext w:val="0"/>
              <w:keepLines w:val="0"/>
              <w:pageBreakBefore w:val="0"/>
              <w:widowControl/>
              <w:tabs>
                <w:tab w:val="left" w:pos="1260"/>
                <w:tab w:val="left" w:leader="middleDot" w:pos="7560"/>
              </w:tabs>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（5）路面坑洼不平或路面湿滑。</w:t>
            </w:r>
          </w:p>
          <w:p>
            <w:pPr>
              <w:keepNext w:val="0"/>
              <w:keepLines w:val="0"/>
              <w:pageBreakBefore w:val="0"/>
              <w:widowControl/>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（6）山水冲刷路面、路旁无排水沟。</w:t>
            </w:r>
          </w:p>
          <w:p>
            <w:pPr>
              <w:keepNext w:val="0"/>
              <w:keepLines w:val="0"/>
              <w:pageBreakBefore w:val="0"/>
              <w:widowControl/>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（7）运输路段无限速和其它安全警示标识、在陡坡或急弯路段临空面未设置护拦和挡车等。</w:t>
            </w:r>
          </w:p>
          <w:p>
            <w:pPr>
              <w:keepNext w:val="0"/>
              <w:keepLines w:val="0"/>
              <w:pageBreakBefore w:val="0"/>
              <w:widowControl/>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（8）运输汽车</w:t>
            </w:r>
            <w:r>
              <w:rPr>
                <w:rFonts w:ascii="宋体" w:hAnsi="宋体"/>
                <w:color w:val="auto"/>
                <w:szCs w:val="21"/>
              </w:rPr>
              <w:t>行驶在坡度超过</w:t>
            </w:r>
            <w:r>
              <w:rPr>
                <w:rFonts w:hint="eastAsia" w:ascii="宋体" w:hAnsi="宋体"/>
                <w:color w:val="auto"/>
                <w:szCs w:val="21"/>
              </w:rPr>
              <w:t>10</w:t>
            </w:r>
            <w:r>
              <w:rPr>
                <w:rFonts w:ascii="宋体" w:hAnsi="宋体"/>
                <w:color w:val="auto"/>
                <w:szCs w:val="21"/>
              </w:rPr>
              <w:t>%</w:t>
            </w:r>
            <w:r>
              <w:rPr>
                <w:rFonts w:hint="eastAsia" w:ascii="宋体" w:hAnsi="宋体"/>
                <w:color w:val="auto"/>
                <w:szCs w:val="21"/>
              </w:rPr>
              <w:t>的</w:t>
            </w:r>
            <w:r>
              <w:rPr>
                <w:rFonts w:ascii="宋体" w:hAnsi="宋体"/>
                <w:color w:val="auto"/>
                <w:szCs w:val="21"/>
              </w:rPr>
              <w:t>道路</w:t>
            </w:r>
            <w:r>
              <w:rPr>
                <w:rFonts w:hint="eastAsia" w:ascii="宋体" w:hAnsi="宋体"/>
                <w:color w:val="auto"/>
                <w:szCs w:val="21"/>
              </w:rPr>
              <w:t>。</w:t>
            </w:r>
          </w:p>
        </w:tc>
        <w:tc>
          <w:tcPr>
            <w:tcW w:w="1087" w:type="dxa"/>
            <w:vAlign w:val="center"/>
          </w:tcPr>
          <w:p>
            <w:pPr>
              <w:keepNext w:val="0"/>
              <w:keepLines w:val="0"/>
              <w:pageBreakBefore w:val="0"/>
              <w:widowControl/>
              <w:kinsoku/>
              <w:wordWrap/>
              <w:overflowPunct/>
              <w:topLinePunct w:val="0"/>
              <w:bidi w:val="0"/>
              <w:snapToGrid/>
              <w:spacing w:line="240" w:lineRule="exact"/>
              <w:jc w:val="center"/>
              <w:textAlignment w:val="auto"/>
              <w:rPr>
                <w:rFonts w:ascii="宋体" w:hAnsi="宋体"/>
                <w:color w:val="auto"/>
                <w:szCs w:val="21"/>
              </w:rPr>
            </w:pPr>
            <w:r>
              <w:rPr>
                <w:rFonts w:hint="eastAsia" w:ascii="宋体" w:hAnsi="宋体"/>
                <w:color w:val="auto"/>
                <w:szCs w:val="21"/>
              </w:rPr>
              <w:t>人员伤亡设备损坏</w:t>
            </w:r>
          </w:p>
        </w:tc>
        <w:tc>
          <w:tcPr>
            <w:tcW w:w="881" w:type="dxa"/>
            <w:vAlign w:val="center"/>
          </w:tcPr>
          <w:p>
            <w:pPr>
              <w:keepNext w:val="0"/>
              <w:keepLines w:val="0"/>
              <w:pageBreakBefore w:val="0"/>
              <w:widowControl/>
              <w:kinsoku/>
              <w:wordWrap/>
              <w:overflowPunct/>
              <w:topLinePunct w:val="0"/>
              <w:bidi w:val="0"/>
              <w:snapToGrid/>
              <w:spacing w:line="240" w:lineRule="exact"/>
              <w:jc w:val="center"/>
              <w:textAlignment w:val="auto"/>
              <w:rPr>
                <w:rFonts w:ascii="宋体" w:hAnsi="宋体"/>
                <w:color w:val="auto"/>
                <w:szCs w:val="21"/>
              </w:rPr>
            </w:pPr>
            <w:r>
              <w:rPr>
                <w:rFonts w:hint="eastAsia" w:ascii="宋体" w:hAnsi="宋体"/>
                <w:color w:val="auto"/>
                <w:szCs w:val="21"/>
              </w:rPr>
              <w:t>Ⅲ</w:t>
            </w:r>
          </w:p>
        </w:tc>
        <w:tc>
          <w:tcPr>
            <w:tcW w:w="4932" w:type="dxa"/>
            <w:vAlign w:val="center"/>
          </w:tcPr>
          <w:p>
            <w:pPr>
              <w:keepNext w:val="0"/>
              <w:keepLines w:val="0"/>
              <w:pageBreakBefore w:val="0"/>
              <w:widowControl/>
              <w:kinsoku/>
              <w:wordWrap/>
              <w:overflowPunct/>
              <w:topLinePunct w:val="0"/>
              <w:autoSpaceDE w:val="0"/>
              <w:autoSpaceDN w:val="0"/>
              <w:bidi w:val="0"/>
              <w:adjustRightInd w:val="0"/>
              <w:snapToGrid/>
              <w:spacing w:line="240" w:lineRule="exact"/>
              <w:textAlignment w:val="auto"/>
              <w:rPr>
                <w:rFonts w:ascii="宋体" w:hAnsi="宋体"/>
                <w:color w:val="auto"/>
                <w:szCs w:val="21"/>
              </w:rPr>
            </w:pPr>
            <w:r>
              <w:rPr>
                <w:rFonts w:hint="eastAsia" w:ascii="宋体" w:hAnsi="宋体"/>
                <w:color w:val="auto"/>
                <w:szCs w:val="21"/>
              </w:rPr>
              <w:t>（1）设计时合理选择开拓运输方式，矿山作业过程中严格按设计的开拓运输方式进行作业。</w:t>
            </w:r>
          </w:p>
          <w:p>
            <w:pPr>
              <w:keepNext w:val="0"/>
              <w:keepLines w:val="0"/>
              <w:pageBreakBefore w:val="0"/>
              <w:widowControl/>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（2）矿山运输线路坡度小于</w:t>
            </w:r>
            <w:r>
              <w:rPr>
                <w:rFonts w:ascii="宋体" w:hAnsi="宋体"/>
                <w:color w:val="auto"/>
                <w:szCs w:val="21"/>
              </w:rPr>
              <w:t>8</w:t>
            </w:r>
            <w:r>
              <w:rPr>
                <w:rFonts w:hint="eastAsia" w:ascii="宋体" w:hAnsi="宋体"/>
                <w:color w:val="auto"/>
                <w:szCs w:val="21"/>
              </w:rPr>
              <w:t>%。</w:t>
            </w:r>
          </w:p>
          <w:p>
            <w:pPr>
              <w:keepNext w:val="0"/>
              <w:keepLines w:val="0"/>
              <w:pageBreakBefore w:val="0"/>
              <w:widowControl/>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（3）按设计要求设置错车道。</w:t>
            </w:r>
          </w:p>
          <w:p>
            <w:pPr>
              <w:keepNext w:val="0"/>
              <w:keepLines w:val="0"/>
              <w:pageBreakBefore w:val="0"/>
              <w:widowControl/>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（4）按设计要求设置路面宽度。</w:t>
            </w:r>
          </w:p>
          <w:p>
            <w:pPr>
              <w:keepNext w:val="0"/>
              <w:keepLines w:val="0"/>
              <w:pageBreakBefore w:val="0"/>
              <w:widowControl/>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（5）及时维修及保养路面。</w:t>
            </w:r>
          </w:p>
          <w:p>
            <w:pPr>
              <w:keepNext w:val="0"/>
              <w:keepLines w:val="0"/>
              <w:pageBreakBefore w:val="0"/>
              <w:widowControl/>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（6）运输道路临山侧设排水沟。</w:t>
            </w:r>
          </w:p>
          <w:p>
            <w:pPr>
              <w:keepNext w:val="0"/>
              <w:keepLines w:val="0"/>
              <w:pageBreakBefore w:val="0"/>
              <w:widowControl/>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（7）应在运输路段设置限速、安全警示标识，在陡坡或急弯路段临空面设置护拦和挡车垛等。</w:t>
            </w:r>
          </w:p>
          <w:p>
            <w:pPr>
              <w:keepNext w:val="0"/>
              <w:keepLines w:val="0"/>
              <w:pageBreakBefore w:val="0"/>
              <w:widowControl/>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（8）运输道路坡度</w:t>
            </w:r>
            <w:r>
              <w:rPr>
                <w:rFonts w:ascii="宋体" w:hAnsi="宋体"/>
                <w:color w:val="auto"/>
                <w:szCs w:val="21"/>
              </w:rPr>
              <w:t>超过</w:t>
            </w:r>
            <w:r>
              <w:rPr>
                <w:rFonts w:hint="eastAsia" w:ascii="宋体" w:hAnsi="宋体"/>
                <w:color w:val="auto"/>
                <w:szCs w:val="21"/>
              </w:rPr>
              <w:t>10</w:t>
            </w:r>
            <w:r>
              <w:rPr>
                <w:rFonts w:ascii="宋体" w:hAnsi="宋体"/>
                <w:color w:val="auto"/>
                <w:szCs w:val="21"/>
              </w:rPr>
              <w:t>%的路段</w:t>
            </w:r>
            <w:r>
              <w:rPr>
                <w:rFonts w:hint="eastAsia" w:ascii="宋体" w:hAnsi="宋体"/>
                <w:color w:val="auto"/>
                <w:szCs w:val="21"/>
              </w:rPr>
              <w:t>只能</w:t>
            </w:r>
            <w:r>
              <w:rPr>
                <w:rFonts w:ascii="宋体" w:hAnsi="宋体"/>
                <w:color w:val="auto"/>
                <w:szCs w:val="21"/>
              </w:rPr>
              <w:t>供</w:t>
            </w:r>
            <w:r>
              <w:rPr>
                <w:rFonts w:hint="eastAsia" w:ascii="宋体" w:hAnsi="宋体"/>
                <w:color w:val="auto"/>
                <w:szCs w:val="21"/>
              </w:rPr>
              <w:t>挖掘机或</w:t>
            </w:r>
            <w:r>
              <w:rPr>
                <w:rFonts w:ascii="宋体" w:hAnsi="宋体"/>
                <w:color w:val="auto"/>
                <w:szCs w:val="21"/>
              </w:rPr>
              <w:t>行人通过。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dxa"/>
            <w:vMerge w:val="continue"/>
            <w:vAlign w:val="center"/>
          </w:tcPr>
          <w:p>
            <w:pPr>
              <w:keepNext w:val="0"/>
              <w:keepLines w:val="0"/>
              <w:pageBreakBefore w:val="0"/>
              <w:widowControl/>
              <w:kinsoku/>
              <w:wordWrap/>
              <w:overflowPunct/>
              <w:topLinePunct w:val="0"/>
              <w:bidi w:val="0"/>
              <w:snapToGrid/>
              <w:spacing w:line="240" w:lineRule="exact"/>
              <w:jc w:val="center"/>
              <w:textAlignment w:val="auto"/>
              <w:rPr>
                <w:rFonts w:ascii="宋体" w:hAnsi="宋体"/>
                <w:bCs/>
                <w:color w:val="auto"/>
                <w:szCs w:val="21"/>
              </w:rPr>
            </w:pPr>
          </w:p>
        </w:tc>
        <w:tc>
          <w:tcPr>
            <w:tcW w:w="1134" w:type="dxa"/>
            <w:vMerge w:val="continue"/>
            <w:vAlign w:val="center"/>
          </w:tcPr>
          <w:p>
            <w:pPr>
              <w:keepNext w:val="0"/>
              <w:keepLines w:val="0"/>
              <w:pageBreakBefore w:val="0"/>
              <w:widowControl/>
              <w:kinsoku/>
              <w:wordWrap/>
              <w:overflowPunct/>
              <w:topLinePunct w:val="0"/>
              <w:bidi w:val="0"/>
              <w:snapToGrid/>
              <w:spacing w:line="240" w:lineRule="exact"/>
              <w:jc w:val="center"/>
              <w:textAlignment w:val="auto"/>
              <w:rPr>
                <w:rFonts w:ascii="宋体" w:hAnsi="宋体" w:cs="Tahoma"/>
                <w:color w:val="auto"/>
                <w:szCs w:val="21"/>
              </w:rPr>
            </w:pPr>
          </w:p>
        </w:tc>
        <w:tc>
          <w:tcPr>
            <w:tcW w:w="907" w:type="dxa"/>
            <w:vAlign w:val="center"/>
          </w:tcPr>
          <w:p>
            <w:pPr>
              <w:keepNext w:val="0"/>
              <w:keepLines w:val="0"/>
              <w:pageBreakBefore w:val="0"/>
              <w:widowControl/>
              <w:kinsoku/>
              <w:wordWrap/>
              <w:overflowPunct/>
              <w:topLinePunct w:val="0"/>
              <w:bidi w:val="0"/>
              <w:snapToGrid/>
              <w:spacing w:line="240" w:lineRule="exact"/>
              <w:jc w:val="center"/>
              <w:textAlignment w:val="auto"/>
              <w:rPr>
                <w:rFonts w:ascii="宋体" w:hAnsi="宋体"/>
                <w:color w:val="auto"/>
                <w:szCs w:val="21"/>
              </w:rPr>
            </w:pPr>
            <w:r>
              <w:rPr>
                <w:rFonts w:hint="eastAsia" w:ascii="宋体" w:hAnsi="宋体"/>
                <w:color w:val="auto"/>
                <w:szCs w:val="21"/>
              </w:rPr>
              <w:t>坍塌</w:t>
            </w:r>
          </w:p>
          <w:p>
            <w:pPr>
              <w:keepNext w:val="0"/>
              <w:keepLines w:val="0"/>
              <w:pageBreakBefore w:val="0"/>
              <w:widowControl/>
              <w:kinsoku/>
              <w:wordWrap/>
              <w:overflowPunct/>
              <w:topLinePunct w:val="0"/>
              <w:bidi w:val="0"/>
              <w:snapToGrid/>
              <w:spacing w:line="240" w:lineRule="exact"/>
              <w:jc w:val="center"/>
              <w:textAlignment w:val="auto"/>
              <w:rPr>
                <w:rFonts w:ascii="宋体" w:hAnsi="宋体"/>
                <w:color w:val="auto"/>
                <w:szCs w:val="21"/>
              </w:rPr>
            </w:pPr>
            <w:r>
              <w:rPr>
                <w:rFonts w:hint="eastAsia" w:ascii="宋体" w:hAnsi="宋体"/>
                <w:color w:val="auto"/>
                <w:szCs w:val="21"/>
              </w:rPr>
              <w:t>滑坡</w:t>
            </w:r>
          </w:p>
        </w:tc>
        <w:tc>
          <w:tcPr>
            <w:tcW w:w="4552" w:type="dxa"/>
            <w:vAlign w:val="center"/>
          </w:tcPr>
          <w:p>
            <w:pPr>
              <w:keepNext w:val="0"/>
              <w:keepLines w:val="0"/>
              <w:pageBreakBefore w:val="0"/>
              <w:widowControl/>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（1）道路不规范。</w:t>
            </w:r>
          </w:p>
          <w:p>
            <w:pPr>
              <w:keepNext w:val="0"/>
              <w:keepLines w:val="0"/>
              <w:pageBreakBefore w:val="0"/>
              <w:widowControl/>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（2）山水冲刷路面、路旁无排水沟。</w:t>
            </w:r>
          </w:p>
          <w:p>
            <w:pPr>
              <w:keepNext w:val="0"/>
              <w:keepLines w:val="0"/>
              <w:pageBreakBefore w:val="0"/>
              <w:widowControl/>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（3）运输道路边缘路基不实。</w:t>
            </w:r>
          </w:p>
          <w:p>
            <w:pPr>
              <w:keepNext w:val="0"/>
              <w:keepLines w:val="0"/>
              <w:pageBreakBefore w:val="0"/>
              <w:widowControl/>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（4）运输道路临山坡侧未设排水沟。</w:t>
            </w:r>
          </w:p>
        </w:tc>
        <w:tc>
          <w:tcPr>
            <w:tcW w:w="1087" w:type="dxa"/>
            <w:vAlign w:val="center"/>
          </w:tcPr>
          <w:p>
            <w:pPr>
              <w:keepNext w:val="0"/>
              <w:keepLines w:val="0"/>
              <w:pageBreakBefore w:val="0"/>
              <w:widowControl/>
              <w:kinsoku/>
              <w:wordWrap/>
              <w:overflowPunct/>
              <w:topLinePunct w:val="0"/>
              <w:bidi w:val="0"/>
              <w:snapToGrid/>
              <w:spacing w:line="240" w:lineRule="exact"/>
              <w:jc w:val="center"/>
              <w:textAlignment w:val="auto"/>
              <w:rPr>
                <w:rFonts w:ascii="宋体" w:hAnsi="宋体"/>
                <w:color w:val="auto"/>
                <w:szCs w:val="21"/>
              </w:rPr>
            </w:pPr>
            <w:r>
              <w:rPr>
                <w:rFonts w:hint="eastAsia" w:ascii="宋体" w:hAnsi="宋体"/>
                <w:color w:val="auto"/>
                <w:szCs w:val="21"/>
              </w:rPr>
              <w:t>人员重大伤亡、设备严重损坏</w:t>
            </w:r>
          </w:p>
        </w:tc>
        <w:tc>
          <w:tcPr>
            <w:tcW w:w="881" w:type="dxa"/>
            <w:vAlign w:val="center"/>
          </w:tcPr>
          <w:p>
            <w:pPr>
              <w:keepNext w:val="0"/>
              <w:keepLines w:val="0"/>
              <w:pageBreakBefore w:val="0"/>
              <w:widowControl/>
              <w:kinsoku/>
              <w:wordWrap/>
              <w:overflowPunct/>
              <w:topLinePunct w:val="0"/>
              <w:bidi w:val="0"/>
              <w:snapToGrid/>
              <w:spacing w:line="240" w:lineRule="exact"/>
              <w:jc w:val="center"/>
              <w:textAlignment w:val="auto"/>
              <w:rPr>
                <w:rFonts w:ascii="宋体" w:hAnsi="宋体"/>
                <w:color w:val="auto"/>
                <w:szCs w:val="21"/>
              </w:rPr>
            </w:pPr>
            <w:r>
              <w:rPr>
                <w:rFonts w:hint="eastAsia" w:ascii="宋体" w:hAnsi="宋体"/>
                <w:color w:val="auto"/>
                <w:szCs w:val="21"/>
              </w:rPr>
              <w:t>Ⅳ</w:t>
            </w:r>
          </w:p>
        </w:tc>
        <w:tc>
          <w:tcPr>
            <w:tcW w:w="4932" w:type="dxa"/>
            <w:vAlign w:val="center"/>
          </w:tcPr>
          <w:p>
            <w:pPr>
              <w:keepNext w:val="0"/>
              <w:keepLines w:val="0"/>
              <w:pageBreakBefore w:val="0"/>
              <w:widowControl/>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（1）按规程修筑道路。</w:t>
            </w:r>
          </w:p>
          <w:p>
            <w:pPr>
              <w:keepNext w:val="0"/>
              <w:keepLines w:val="0"/>
              <w:pageBreakBefore w:val="0"/>
              <w:widowControl/>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（2）按要求在道路的傍山侧修建排水沟，并保证其完好有效。</w:t>
            </w:r>
          </w:p>
          <w:p>
            <w:pPr>
              <w:keepNext w:val="0"/>
              <w:keepLines w:val="0"/>
              <w:pageBreakBefore w:val="0"/>
              <w:widowControl/>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（3）加强道路边坡检查维护。</w:t>
            </w:r>
          </w:p>
          <w:p>
            <w:pPr>
              <w:keepNext w:val="0"/>
              <w:keepLines w:val="0"/>
              <w:pageBreakBefore w:val="0"/>
              <w:widowControl/>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（4）运输道路临山坡侧设排水沟。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dxa"/>
            <w:vMerge w:val="continue"/>
            <w:vAlign w:val="center"/>
          </w:tcPr>
          <w:p>
            <w:pPr>
              <w:keepNext w:val="0"/>
              <w:keepLines w:val="0"/>
              <w:pageBreakBefore w:val="0"/>
              <w:widowControl/>
              <w:kinsoku/>
              <w:wordWrap/>
              <w:overflowPunct/>
              <w:topLinePunct w:val="0"/>
              <w:bidi w:val="0"/>
              <w:snapToGrid/>
              <w:spacing w:line="240" w:lineRule="exact"/>
              <w:jc w:val="center"/>
              <w:textAlignment w:val="auto"/>
              <w:rPr>
                <w:rFonts w:ascii="宋体" w:hAnsi="宋体"/>
                <w:bCs/>
                <w:color w:val="auto"/>
                <w:szCs w:val="21"/>
              </w:rPr>
            </w:pPr>
          </w:p>
        </w:tc>
        <w:tc>
          <w:tcPr>
            <w:tcW w:w="1134" w:type="dxa"/>
            <w:vMerge w:val="continue"/>
            <w:vAlign w:val="center"/>
          </w:tcPr>
          <w:p>
            <w:pPr>
              <w:keepNext w:val="0"/>
              <w:keepLines w:val="0"/>
              <w:pageBreakBefore w:val="0"/>
              <w:widowControl/>
              <w:kinsoku/>
              <w:wordWrap/>
              <w:overflowPunct/>
              <w:topLinePunct w:val="0"/>
              <w:bidi w:val="0"/>
              <w:snapToGrid/>
              <w:spacing w:line="240" w:lineRule="exact"/>
              <w:jc w:val="center"/>
              <w:textAlignment w:val="auto"/>
              <w:rPr>
                <w:rFonts w:ascii="宋体" w:hAnsi="宋体" w:cs="Tahoma"/>
                <w:color w:val="auto"/>
                <w:szCs w:val="21"/>
              </w:rPr>
            </w:pPr>
          </w:p>
        </w:tc>
        <w:tc>
          <w:tcPr>
            <w:tcW w:w="907" w:type="dxa"/>
            <w:vAlign w:val="center"/>
          </w:tcPr>
          <w:p>
            <w:pPr>
              <w:keepNext w:val="0"/>
              <w:keepLines w:val="0"/>
              <w:pageBreakBefore w:val="0"/>
              <w:widowControl/>
              <w:kinsoku/>
              <w:wordWrap/>
              <w:overflowPunct/>
              <w:topLinePunct w:val="0"/>
              <w:bidi w:val="0"/>
              <w:snapToGrid/>
              <w:spacing w:line="240" w:lineRule="exact"/>
              <w:jc w:val="center"/>
              <w:textAlignment w:val="auto"/>
              <w:rPr>
                <w:rFonts w:ascii="宋体" w:hAnsi="宋体"/>
                <w:color w:val="auto"/>
                <w:szCs w:val="21"/>
              </w:rPr>
            </w:pPr>
            <w:r>
              <w:rPr>
                <w:rFonts w:hint="eastAsia" w:ascii="宋体" w:hAnsi="宋体"/>
                <w:color w:val="auto"/>
                <w:szCs w:val="21"/>
              </w:rPr>
              <w:t>物体</w:t>
            </w:r>
          </w:p>
          <w:p>
            <w:pPr>
              <w:keepNext w:val="0"/>
              <w:keepLines w:val="0"/>
              <w:pageBreakBefore w:val="0"/>
              <w:widowControl/>
              <w:kinsoku/>
              <w:wordWrap/>
              <w:overflowPunct/>
              <w:topLinePunct w:val="0"/>
              <w:bidi w:val="0"/>
              <w:snapToGrid/>
              <w:spacing w:line="240" w:lineRule="exact"/>
              <w:jc w:val="center"/>
              <w:textAlignment w:val="auto"/>
              <w:rPr>
                <w:rFonts w:ascii="宋体" w:hAnsi="宋体"/>
                <w:color w:val="auto"/>
                <w:szCs w:val="21"/>
              </w:rPr>
            </w:pPr>
            <w:r>
              <w:rPr>
                <w:rFonts w:hint="eastAsia" w:ascii="宋体" w:hAnsi="宋体"/>
                <w:color w:val="auto"/>
                <w:szCs w:val="21"/>
              </w:rPr>
              <w:t>打击</w:t>
            </w:r>
          </w:p>
        </w:tc>
        <w:tc>
          <w:tcPr>
            <w:tcW w:w="4552" w:type="dxa"/>
            <w:vAlign w:val="center"/>
          </w:tcPr>
          <w:p>
            <w:pPr>
              <w:keepNext w:val="0"/>
              <w:keepLines w:val="0"/>
              <w:pageBreakBefore w:val="0"/>
              <w:widowControl/>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道路边坡有浮石</w:t>
            </w:r>
          </w:p>
        </w:tc>
        <w:tc>
          <w:tcPr>
            <w:tcW w:w="1087" w:type="dxa"/>
            <w:vAlign w:val="center"/>
          </w:tcPr>
          <w:p>
            <w:pPr>
              <w:keepNext w:val="0"/>
              <w:keepLines w:val="0"/>
              <w:pageBreakBefore w:val="0"/>
              <w:widowControl/>
              <w:kinsoku/>
              <w:wordWrap/>
              <w:overflowPunct/>
              <w:topLinePunct w:val="0"/>
              <w:bidi w:val="0"/>
              <w:snapToGrid/>
              <w:spacing w:line="240" w:lineRule="exact"/>
              <w:jc w:val="center"/>
              <w:textAlignment w:val="auto"/>
              <w:rPr>
                <w:rFonts w:ascii="宋体" w:hAnsi="宋体"/>
                <w:color w:val="auto"/>
                <w:szCs w:val="21"/>
              </w:rPr>
            </w:pPr>
            <w:r>
              <w:rPr>
                <w:rFonts w:hint="eastAsia" w:ascii="宋体" w:hAnsi="宋体"/>
                <w:color w:val="auto"/>
                <w:szCs w:val="21"/>
              </w:rPr>
              <w:t>设备损环人员伤亡</w:t>
            </w:r>
          </w:p>
        </w:tc>
        <w:tc>
          <w:tcPr>
            <w:tcW w:w="881" w:type="dxa"/>
            <w:vAlign w:val="center"/>
          </w:tcPr>
          <w:p>
            <w:pPr>
              <w:keepNext w:val="0"/>
              <w:keepLines w:val="0"/>
              <w:pageBreakBefore w:val="0"/>
              <w:widowControl/>
              <w:kinsoku/>
              <w:wordWrap/>
              <w:overflowPunct/>
              <w:topLinePunct w:val="0"/>
              <w:bidi w:val="0"/>
              <w:snapToGrid/>
              <w:spacing w:line="240" w:lineRule="exact"/>
              <w:jc w:val="center"/>
              <w:textAlignment w:val="auto"/>
              <w:rPr>
                <w:rFonts w:ascii="宋体" w:hAnsi="宋体"/>
                <w:color w:val="auto"/>
                <w:szCs w:val="21"/>
              </w:rPr>
            </w:pPr>
            <w:r>
              <w:rPr>
                <w:rFonts w:hint="eastAsia" w:ascii="宋体" w:hAnsi="宋体"/>
                <w:color w:val="auto"/>
                <w:szCs w:val="21"/>
              </w:rPr>
              <w:t>Ⅲ</w:t>
            </w:r>
          </w:p>
        </w:tc>
        <w:tc>
          <w:tcPr>
            <w:tcW w:w="4932" w:type="dxa"/>
            <w:vAlign w:val="center"/>
          </w:tcPr>
          <w:p>
            <w:pPr>
              <w:keepNext w:val="0"/>
              <w:keepLines w:val="0"/>
              <w:pageBreakBefore w:val="0"/>
              <w:widowControl/>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运输设备、人员经过道路边坡下部时，应先清除道路边坡浮石，对不稳定的路面进行加固处理。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dxa"/>
            <w:vMerge w:val="continue"/>
            <w:vAlign w:val="center"/>
          </w:tcPr>
          <w:p>
            <w:pPr>
              <w:keepNext w:val="0"/>
              <w:keepLines w:val="0"/>
              <w:pageBreakBefore w:val="0"/>
              <w:widowControl/>
              <w:kinsoku/>
              <w:wordWrap/>
              <w:overflowPunct/>
              <w:topLinePunct w:val="0"/>
              <w:bidi w:val="0"/>
              <w:snapToGrid/>
              <w:spacing w:line="240" w:lineRule="exact"/>
              <w:jc w:val="center"/>
              <w:textAlignment w:val="auto"/>
              <w:rPr>
                <w:rFonts w:ascii="宋体" w:hAnsi="宋体"/>
                <w:bCs/>
                <w:color w:val="auto"/>
                <w:szCs w:val="21"/>
              </w:rPr>
            </w:pPr>
          </w:p>
        </w:tc>
        <w:tc>
          <w:tcPr>
            <w:tcW w:w="1134" w:type="dxa"/>
            <w:vMerge w:val="continue"/>
            <w:vAlign w:val="center"/>
          </w:tcPr>
          <w:p>
            <w:pPr>
              <w:keepNext w:val="0"/>
              <w:keepLines w:val="0"/>
              <w:pageBreakBefore w:val="0"/>
              <w:widowControl/>
              <w:kinsoku/>
              <w:wordWrap/>
              <w:overflowPunct/>
              <w:topLinePunct w:val="0"/>
              <w:bidi w:val="0"/>
              <w:snapToGrid/>
              <w:spacing w:line="240" w:lineRule="exact"/>
              <w:jc w:val="center"/>
              <w:textAlignment w:val="auto"/>
              <w:rPr>
                <w:rFonts w:ascii="宋体" w:hAnsi="宋体" w:cs="Tahoma"/>
                <w:color w:val="auto"/>
                <w:szCs w:val="21"/>
              </w:rPr>
            </w:pPr>
          </w:p>
        </w:tc>
        <w:tc>
          <w:tcPr>
            <w:tcW w:w="907" w:type="dxa"/>
            <w:vAlign w:val="center"/>
          </w:tcPr>
          <w:p>
            <w:pPr>
              <w:keepNext w:val="0"/>
              <w:keepLines w:val="0"/>
              <w:pageBreakBefore w:val="0"/>
              <w:widowControl/>
              <w:tabs>
                <w:tab w:val="left" w:pos="1260"/>
                <w:tab w:val="left" w:leader="middleDot" w:pos="7560"/>
              </w:tabs>
              <w:kinsoku/>
              <w:wordWrap/>
              <w:overflowPunct/>
              <w:topLinePunct w:val="0"/>
              <w:bidi w:val="0"/>
              <w:snapToGrid/>
              <w:spacing w:line="240" w:lineRule="exact"/>
              <w:jc w:val="center"/>
              <w:textAlignment w:val="auto"/>
              <w:rPr>
                <w:rFonts w:ascii="宋体" w:hAnsi="宋体"/>
                <w:color w:val="auto"/>
                <w:szCs w:val="21"/>
              </w:rPr>
            </w:pPr>
            <w:r>
              <w:rPr>
                <w:rFonts w:hint="eastAsia" w:ascii="宋体" w:hAnsi="宋体"/>
                <w:color w:val="auto"/>
                <w:szCs w:val="21"/>
              </w:rPr>
              <w:t>高处</w:t>
            </w:r>
          </w:p>
          <w:p>
            <w:pPr>
              <w:keepNext w:val="0"/>
              <w:keepLines w:val="0"/>
              <w:pageBreakBefore w:val="0"/>
              <w:widowControl/>
              <w:tabs>
                <w:tab w:val="left" w:pos="1260"/>
                <w:tab w:val="left" w:leader="middleDot" w:pos="7560"/>
              </w:tabs>
              <w:kinsoku/>
              <w:wordWrap/>
              <w:overflowPunct/>
              <w:topLinePunct w:val="0"/>
              <w:bidi w:val="0"/>
              <w:snapToGrid/>
              <w:spacing w:line="240" w:lineRule="exact"/>
              <w:jc w:val="center"/>
              <w:textAlignment w:val="auto"/>
              <w:rPr>
                <w:rFonts w:ascii="宋体" w:hAnsi="宋体"/>
                <w:color w:val="auto"/>
                <w:szCs w:val="21"/>
              </w:rPr>
            </w:pPr>
            <w:r>
              <w:rPr>
                <w:rFonts w:hint="eastAsia" w:ascii="宋体" w:hAnsi="宋体"/>
                <w:color w:val="auto"/>
                <w:szCs w:val="21"/>
              </w:rPr>
              <w:t>坠落</w:t>
            </w:r>
          </w:p>
        </w:tc>
        <w:tc>
          <w:tcPr>
            <w:tcW w:w="4552" w:type="dxa"/>
            <w:vAlign w:val="center"/>
          </w:tcPr>
          <w:p>
            <w:pPr>
              <w:keepNext w:val="0"/>
              <w:keepLines w:val="0"/>
              <w:pageBreakBefore w:val="0"/>
              <w:widowControl/>
              <w:tabs>
                <w:tab w:val="left" w:pos="1260"/>
                <w:tab w:val="left" w:leader="middleDot" w:pos="7560"/>
              </w:tabs>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（1）人员、车辆停放过于靠近道路边缘。</w:t>
            </w:r>
          </w:p>
          <w:p>
            <w:pPr>
              <w:keepNext w:val="0"/>
              <w:keepLines w:val="0"/>
              <w:pageBreakBefore w:val="0"/>
              <w:widowControl/>
              <w:tabs>
                <w:tab w:val="left" w:pos="1260"/>
                <w:tab w:val="left" w:leader="middleDot" w:pos="7560"/>
              </w:tabs>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）台阶边缘无警示标志、临空面无防护栏。</w:t>
            </w:r>
          </w:p>
        </w:tc>
        <w:tc>
          <w:tcPr>
            <w:tcW w:w="1087" w:type="dxa"/>
            <w:vAlign w:val="center"/>
          </w:tcPr>
          <w:p>
            <w:pPr>
              <w:keepNext w:val="0"/>
              <w:keepLines w:val="0"/>
              <w:pageBreakBefore w:val="0"/>
              <w:widowControl/>
              <w:tabs>
                <w:tab w:val="left" w:pos="1260"/>
                <w:tab w:val="left" w:leader="middleDot" w:pos="7560"/>
              </w:tabs>
              <w:kinsoku/>
              <w:wordWrap/>
              <w:overflowPunct/>
              <w:topLinePunct w:val="0"/>
              <w:bidi w:val="0"/>
              <w:snapToGrid/>
              <w:spacing w:line="240" w:lineRule="exact"/>
              <w:jc w:val="center"/>
              <w:textAlignment w:val="auto"/>
              <w:rPr>
                <w:rFonts w:ascii="宋体" w:hAnsi="宋体"/>
                <w:color w:val="auto"/>
                <w:szCs w:val="21"/>
              </w:rPr>
            </w:pPr>
            <w:r>
              <w:rPr>
                <w:rFonts w:hint="eastAsia" w:ascii="宋体" w:hAnsi="宋体"/>
                <w:color w:val="auto"/>
                <w:szCs w:val="21"/>
              </w:rPr>
              <w:t>人员伤亡</w:t>
            </w:r>
          </w:p>
          <w:p>
            <w:pPr>
              <w:keepNext w:val="0"/>
              <w:keepLines w:val="0"/>
              <w:pageBreakBefore w:val="0"/>
              <w:widowControl/>
              <w:tabs>
                <w:tab w:val="left" w:pos="1260"/>
                <w:tab w:val="left" w:leader="middleDot" w:pos="7560"/>
              </w:tabs>
              <w:kinsoku/>
              <w:wordWrap/>
              <w:overflowPunct/>
              <w:topLinePunct w:val="0"/>
              <w:bidi w:val="0"/>
              <w:snapToGrid/>
              <w:spacing w:line="240" w:lineRule="exact"/>
              <w:jc w:val="center"/>
              <w:textAlignment w:val="auto"/>
              <w:rPr>
                <w:rFonts w:ascii="宋体" w:hAnsi="宋体"/>
                <w:color w:val="auto"/>
                <w:szCs w:val="21"/>
              </w:rPr>
            </w:pPr>
            <w:r>
              <w:rPr>
                <w:rFonts w:hint="eastAsia" w:ascii="宋体" w:hAnsi="宋体"/>
                <w:color w:val="auto"/>
                <w:szCs w:val="21"/>
              </w:rPr>
              <w:t>设备损坏</w:t>
            </w:r>
          </w:p>
        </w:tc>
        <w:tc>
          <w:tcPr>
            <w:tcW w:w="881" w:type="dxa"/>
            <w:vAlign w:val="center"/>
          </w:tcPr>
          <w:p>
            <w:pPr>
              <w:keepNext w:val="0"/>
              <w:keepLines w:val="0"/>
              <w:pageBreakBefore w:val="0"/>
              <w:widowControl/>
              <w:tabs>
                <w:tab w:val="left" w:pos="1260"/>
                <w:tab w:val="left" w:leader="middleDot" w:pos="7560"/>
              </w:tabs>
              <w:kinsoku/>
              <w:wordWrap/>
              <w:overflowPunct/>
              <w:topLinePunct w:val="0"/>
              <w:bidi w:val="0"/>
              <w:snapToGrid/>
              <w:spacing w:line="240" w:lineRule="exact"/>
              <w:jc w:val="center"/>
              <w:textAlignment w:val="auto"/>
              <w:rPr>
                <w:rFonts w:ascii="宋体" w:hAnsi="宋体"/>
                <w:color w:val="auto"/>
                <w:szCs w:val="21"/>
              </w:rPr>
            </w:pPr>
            <w:r>
              <w:rPr>
                <w:rFonts w:hint="eastAsia" w:ascii="宋体" w:hAnsi="宋体" w:cs="宋体"/>
                <w:color w:val="auto"/>
                <w:spacing w:val="4"/>
                <w:kern w:val="0"/>
                <w:szCs w:val="21"/>
              </w:rPr>
              <w:t>Ⅲ</w:t>
            </w:r>
          </w:p>
        </w:tc>
        <w:tc>
          <w:tcPr>
            <w:tcW w:w="4932" w:type="dxa"/>
            <w:vAlign w:val="center"/>
          </w:tcPr>
          <w:p>
            <w:pPr>
              <w:keepNext w:val="0"/>
              <w:keepLines w:val="0"/>
              <w:pageBreakBefore w:val="0"/>
              <w:widowControl/>
              <w:tabs>
                <w:tab w:val="left" w:pos="1260"/>
                <w:tab w:val="left" w:leader="middleDot" w:pos="7560"/>
              </w:tabs>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（1）行车应距临空面保持1m以上安全距离。</w:t>
            </w:r>
          </w:p>
          <w:p>
            <w:pPr>
              <w:keepNext w:val="0"/>
              <w:keepLines w:val="0"/>
              <w:pageBreakBefore w:val="0"/>
              <w:widowControl/>
              <w:tabs>
                <w:tab w:val="left" w:pos="1260"/>
                <w:tab w:val="left" w:leader="middleDot" w:pos="7560"/>
              </w:tabs>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）在明显位置设警示标志及防护栏。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dxa"/>
            <w:vAlign w:val="center"/>
          </w:tcPr>
          <w:p>
            <w:pPr>
              <w:keepNext w:val="0"/>
              <w:keepLines w:val="0"/>
              <w:pageBreakBefore w:val="0"/>
              <w:widowControl/>
              <w:kinsoku/>
              <w:wordWrap/>
              <w:overflowPunct/>
              <w:topLinePunct w:val="0"/>
              <w:bidi w:val="0"/>
              <w:snapToGrid/>
              <w:spacing w:line="240" w:lineRule="exact"/>
              <w:jc w:val="center"/>
              <w:textAlignment w:val="auto"/>
              <w:rPr>
                <w:rFonts w:ascii="宋体" w:hAnsi="宋体"/>
                <w:bCs/>
                <w:color w:val="auto"/>
                <w:szCs w:val="21"/>
              </w:rPr>
            </w:pPr>
            <w:r>
              <w:rPr>
                <w:rFonts w:hint="eastAsia" w:ascii="宋体" w:hAnsi="宋体"/>
                <w:bCs/>
                <w:color w:val="auto"/>
                <w:szCs w:val="21"/>
              </w:rPr>
              <w:t>2</w:t>
            </w:r>
          </w:p>
        </w:tc>
        <w:tc>
          <w:tcPr>
            <w:tcW w:w="1134" w:type="dxa"/>
            <w:vAlign w:val="center"/>
          </w:tcPr>
          <w:p>
            <w:pPr>
              <w:keepNext w:val="0"/>
              <w:keepLines w:val="0"/>
              <w:pageBreakBefore w:val="0"/>
              <w:widowControl/>
              <w:kinsoku/>
              <w:wordWrap/>
              <w:overflowPunct/>
              <w:topLinePunct w:val="0"/>
              <w:bidi w:val="0"/>
              <w:snapToGrid/>
              <w:spacing w:line="240" w:lineRule="exact"/>
              <w:jc w:val="center"/>
              <w:textAlignment w:val="auto"/>
              <w:rPr>
                <w:rFonts w:ascii="宋体" w:hAnsi="宋体" w:cs="Tahoma"/>
                <w:color w:val="auto"/>
                <w:szCs w:val="21"/>
              </w:rPr>
            </w:pPr>
            <w:r>
              <w:rPr>
                <w:rFonts w:hint="eastAsia" w:ascii="宋体" w:hAnsi="宋体" w:cs="Tahoma"/>
                <w:color w:val="auto"/>
                <w:szCs w:val="21"/>
              </w:rPr>
              <w:t>运输设备</w:t>
            </w:r>
          </w:p>
        </w:tc>
        <w:tc>
          <w:tcPr>
            <w:tcW w:w="907" w:type="dxa"/>
            <w:vAlign w:val="center"/>
          </w:tcPr>
          <w:p>
            <w:pPr>
              <w:keepNext w:val="0"/>
              <w:keepLines w:val="0"/>
              <w:pageBreakBefore w:val="0"/>
              <w:widowControl/>
              <w:kinsoku/>
              <w:wordWrap/>
              <w:overflowPunct/>
              <w:topLinePunct w:val="0"/>
              <w:bidi w:val="0"/>
              <w:snapToGrid/>
              <w:spacing w:line="240" w:lineRule="exact"/>
              <w:jc w:val="center"/>
              <w:textAlignment w:val="auto"/>
              <w:rPr>
                <w:rFonts w:ascii="宋体" w:hAnsi="宋体"/>
                <w:color w:val="auto"/>
                <w:szCs w:val="21"/>
              </w:rPr>
            </w:pPr>
            <w:r>
              <w:rPr>
                <w:rFonts w:hint="eastAsia" w:ascii="宋体" w:hAnsi="宋体"/>
                <w:color w:val="auto"/>
                <w:szCs w:val="21"/>
              </w:rPr>
              <w:t>车辆</w:t>
            </w:r>
          </w:p>
          <w:p>
            <w:pPr>
              <w:keepNext w:val="0"/>
              <w:keepLines w:val="0"/>
              <w:pageBreakBefore w:val="0"/>
              <w:widowControl/>
              <w:kinsoku/>
              <w:wordWrap/>
              <w:overflowPunct/>
              <w:topLinePunct w:val="0"/>
              <w:bidi w:val="0"/>
              <w:snapToGrid/>
              <w:spacing w:line="240" w:lineRule="exact"/>
              <w:jc w:val="center"/>
              <w:textAlignment w:val="auto"/>
              <w:rPr>
                <w:rFonts w:ascii="宋体" w:hAnsi="宋体"/>
                <w:color w:val="auto"/>
                <w:szCs w:val="21"/>
              </w:rPr>
            </w:pPr>
            <w:r>
              <w:rPr>
                <w:rFonts w:hint="eastAsia" w:ascii="宋体" w:hAnsi="宋体"/>
                <w:color w:val="auto"/>
                <w:szCs w:val="21"/>
              </w:rPr>
              <w:t>伤害</w:t>
            </w:r>
          </w:p>
        </w:tc>
        <w:tc>
          <w:tcPr>
            <w:tcW w:w="4552" w:type="dxa"/>
          </w:tcPr>
          <w:p>
            <w:pPr>
              <w:keepNext w:val="0"/>
              <w:keepLines w:val="0"/>
              <w:pageBreakBefore w:val="0"/>
              <w:widowControl/>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（1）矿山运输车辆载重量或数量少于设计要求，导致超载。</w:t>
            </w:r>
          </w:p>
          <w:p>
            <w:pPr>
              <w:keepNext w:val="0"/>
              <w:keepLines w:val="0"/>
              <w:pageBreakBefore w:val="0"/>
              <w:widowControl/>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（2）车辆未及时检修，安全装置失效。</w:t>
            </w:r>
          </w:p>
          <w:p>
            <w:pPr>
              <w:keepNext w:val="0"/>
              <w:keepLines w:val="0"/>
              <w:pageBreakBefore w:val="0"/>
              <w:widowControl/>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（3）运输时超载、超速。</w:t>
            </w:r>
          </w:p>
          <w:p>
            <w:pPr>
              <w:keepNext w:val="0"/>
              <w:keepLines w:val="0"/>
              <w:pageBreakBefore w:val="0"/>
              <w:widowControl/>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（4）车辆驾驶人员未经培训考核不具备车辆驾驶能力，驾驶人员违规操作，疲劳驾驶、酒后驾驶或带病驾驶，可能发生车辆伤害事故的危险。</w:t>
            </w:r>
          </w:p>
          <w:p>
            <w:pPr>
              <w:keepNext w:val="0"/>
              <w:keepLines w:val="0"/>
              <w:pageBreakBefore w:val="0"/>
              <w:widowControl/>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pacing w:val="-11"/>
                <w:sz w:val="21"/>
                <w:szCs w:val="21"/>
              </w:rPr>
              <w:t>（5）在挖掘机铲装作业时，工作平台宽度不够或车辆停位、行走不恰当，可能会发生车辆伤害事故。</w:t>
            </w:r>
          </w:p>
          <w:p>
            <w:pPr>
              <w:keepNext w:val="0"/>
              <w:keepLines w:val="0"/>
              <w:pageBreakBefore w:val="0"/>
              <w:widowControl/>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（6）雷雨天气、六级以上大风、大雾及夜间。</w:t>
            </w:r>
          </w:p>
        </w:tc>
        <w:tc>
          <w:tcPr>
            <w:tcW w:w="1087" w:type="dxa"/>
            <w:vAlign w:val="center"/>
          </w:tcPr>
          <w:p>
            <w:pPr>
              <w:keepNext w:val="0"/>
              <w:keepLines w:val="0"/>
              <w:pageBreakBefore w:val="0"/>
              <w:widowControl/>
              <w:kinsoku/>
              <w:wordWrap/>
              <w:overflowPunct/>
              <w:topLinePunct w:val="0"/>
              <w:bidi w:val="0"/>
              <w:snapToGrid/>
              <w:spacing w:line="240" w:lineRule="exact"/>
              <w:jc w:val="center"/>
              <w:textAlignment w:val="auto"/>
              <w:rPr>
                <w:rFonts w:ascii="宋体" w:hAnsi="宋体"/>
                <w:color w:val="auto"/>
                <w:szCs w:val="21"/>
              </w:rPr>
            </w:pPr>
            <w:r>
              <w:rPr>
                <w:rFonts w:hint="eastAsia" w:ascii="宋体" w:hAnsi="宋体"/>
                <w:color w:val="auto"/>
                <w:szCs w:val="21"/>
              </w:rPr>
              <w:t>人员伤亡</w:t>
            </w:r>
          </w:p>
          <w:p>
            <w:pPr>
              <w:keepNext w:val="0"/>
              <w:keepLines w:val="0"/>
              <w:pageBreakBefore w:val="0"/>
              <w:widowControl/>
              <w:kinsoku/>
              <w:wordWrap/>
              <w:overflowPunct/>
              <w:topLinePunct w:val="0"/>
              <w:bidi w:val="0"/>
              <w:snapToGrid/>
              <w:spacing w:line="240" w:lineRule="exact"/>
              <w:jc w:val="center"/>
              <w:textAlignment w:val="auto"/>
              <w:rPr>
                <w:rFonts w:ascii="宋体" w:hAnsi="宋体"/>
                <w:color w:val="auto"/>
                <w:szCs w:val="21"/>
              </w:rPr>
            </w:pPr>
            <w:r>
              <w:rPr>
                <w:rFonts w:hint="eastAsia" w:ascii="宋体" w:hAnsi="宋体"/>
                <w:color w:val="auto"/>
                <w:szCs w:val="21"/>
              </w:rPr>
              <w:t>设备损坏</w:t>
            </w:r>
          </w:p>
        </w:tc>
        <w:tc>
          <w:tcPr>
            <w:tcW w:w="881" w:type="dxa"/>
            <w:vAlign w:val="center"/>
          </w:tcPr>
          <w:p>
            <w:pPr>
              <w:keepNext w:val="0"/>
              <w:keepLines w:val="0"/>
              <w:pageBreakBefore w:val="0"/>
              <w:widowControl/>
              <w:kinsoku/>
              <w:wordWrap/>
              <w:overflowPunct/>
              <w:topLinePunct w:val="0"/>
              <w:bidi w:val="0"/>
              <w:snapToGrid/>
              <w:spacing w:line="240" w:lineRule="exact"/>
              <w:jc w:val="center"/>
              <w:textAlignment w:val="auto"/>
              <w:rPr>
                <w:rFonts w:ascii="宋体" w:hAnsi="宋体"/>
                <w:color w:val="auto"/>
                <w:szCs w:val="21"/>
              </w:rPr>
            </w:pPr>
            <w:r>
              <w:rPr>
                <w:rFonts w:hint="eastAsia" w:ascii="宋体" w:hAnsi="宋体"/>
                <w:color w:val="auto"/>
                <w:szCs w:val="21"/>
              </w:rPr>
              <w:t>Ⅲ</w:t>
            </w:r>
          </w:p>
        </w:tc>
        <w:tc>
          <w:tcPr>
            <w:tcW w:w="4932" w:type="dxa"/>
          </w:tcPr>
          <w:p>
            <w:pPr>
              <w:keepNext w:val="0"/>
              <w:keepLines w:val="0"/>
              <w:pageBreakBefore w:val="0"/>
              <w:widowControl/>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（1）按设计要求购置相应数量及载重量的运输车辆。</w:t>
            </w:r>
          </w:p>
          <w:p>
            <w:pPr>
              <w:keepNext w:val="0"/>
              <w:keepLines w:val="0"/>
              <w:pageBreakBefore w:val="0"/>
              <w:widowControl/>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（2）运输车辆及时检修。</w:t>
            </w:r>
          </w:p>
          <w:p>
            <w:pPr>
              <w:keepNext w:val="0"/>
              <w:keepLines w:val="0"/>
              <w:pageBreakBefore w:val="0"/>
              <w:widowControl/>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（3）严禁超载、超速。</w:t>
            </w:r>
          </w:p>
          <w:p>
            <w:pPr>
              <w:keepNext w:val="0"/>
              <w:keepLines w:val="0"/>
              <w:pageBreakBefore w:val="0"/>
              <w:widowControl/>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（4）驾驶员应持证上岗，驾驶时遵章守纪。严禁疲劳驾驶、酒后驾驶、带病驾驶。</w:t>
            </w:r>
          </w:p>
          <w:p>
            <w:pPr>
              <w:keepNext w:val="0"/>
              <w:keepLines w:val="0"/>
              <w:pageBreakBefore w:val="0"/>
              <w:widowControl/>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（5）挖掘机铲装作业时应停靠或行走在稳固区域。</w:t>
            </w:r>
          </w:p>
          <w:p>
            <w:pPr>
              <w:keepNext w:val="0"/>
              <w:keepLines w:val="0"/>
              <w:pageBreakBefore w:val="0"/>
              <w:widowControl/>
              <w:kinsoku/>
              <w:wordWrap/>
              <w:overflowPunct/>
              <w:topLinePunct w:val="0"/>
              <w:bidi w:val="0"/>
              <w:snapToGrid/>
              <w:spacing w:line="240" w:lineRule="exact"/>
              <w:textAlignment w:val="auto"/>
              <w:rPr>
                <w:rFonts w:ascii="宋体" w:hAnsi="宋体"/>
                <w:color w:val="auto"/>
                <w:szCs w:val="21"/>
              </w:rPr>
            </w:pPr>
            <w:r>
              <w:rPr>
                <w:rFonts w:hint="eastAsia" w:ascii="宋体" w:hAnsi="宋体"/>
                <w:color w:val="auto"/>
                <w:szCs w:val="21"/>
              </w:rPr>
              <w:t>（6）雷雨天气、六级以上大风、大雾天气及夜间时不作业。</w:t>
            </w:r>
          </w:p>
        </w:tc>
      </w:tr>
    </w:tbl>
    <w:p>
      <w:pPr>
        <w:widowControl/>
        <w:spacing w:line="500" w:lineRule="exact"/>
        <w:ind w:firstLine="480" w:firstLineChars="200"/>
        <w:rPr>
          <w:rFonts w:ascii="宋体" w:hAnsi="宋体"/>
          <w:color w:val="auto"/>
          <w:sz w:val="24"/>
        </w:rPr>
      </w:pPr>
      <w:r>
        <w:rPr>
          <w:rFonts w:hint="eastAsia" w:ascii="宋体" w:hAnsi="宋体"/>
          <w:color w:val="auto"/>
          <w:sz w:val="24"/>
        </w:rPr>
        <w:t>评价结果：存在的危险有害因素为车辆伤害、坍塌滑坡、物体打击、</w:t>
      </w:r>
      <w:r>
        <w:rPr>
          <w:rFonts w:ascii="宋体" w:hAnsi="宋体"/>
          <w:color w:val="auto"/>
          <w:sz w:val="24"/>
        </w:rPr>
        <w:t>高处坠落</w:t>
      </w:r>
      <w:r>
        <w:rPr>
          <w:rFonts w:hint="eastAsia" w:ascii="宋体" w:hAnsi="宋体"/>
          <w:color w:val="auto"/>
          <w:sz w:val="24"/>
        </w:rPr>
        <w:t>。主要防治的为车辆伤害、坍塌滑坡。</w:t>
      </w:r>
    </w:p>
    <w:p>
      <w:pPr>
        <w:pStyle w:val="4"/>
        <w:keepLines w:val="0"/>
        <w:widowControl/>
        <w:spacing w:before="120" w:after="120" w:line="500" w:lineRule="exact"/>
        <w:rPr>
          <w:rFonts w:ascii="宋体" w:hAnsi="宋体" w:eastAsia="宋体"/>
          <w:b/>
          <w:bCs w:val="0"/>
          <w:color w:val="auto"/>
          <w:kern w:val="28"/>
          <w:sz w:val="28"/>
          <w:szCs w:val="28"/>
        </w:rPr>
      </w:pPr>
      <w:bookmarkStart w:id="187" w:name="_Toc150262778"/>
      <w:bookmarkStart w:id="188" w:name="_Toc21511324"/>
      <w:r>
        <w:rPr>
          <w:rFonts w:hint="eastAsia" w:ascii="宋体" w:hAnsi="宋体" w:eastAsia="宋体"/>
          <w:b/>
          <w:bCs w:val="0"/>
          <w:color w:val="auto"/>
          <w:kern w:val="28"/>
          <w:sz w:val="28"/>
          <w:szCs w:val="28"/>
        </w:rPr>
        <w:t>3.</w:t>
      </w:r>
      <w:r>
        <w:rPr>
          <w:rFonts w:ascii="宋体" w:hAnsi="宋体" w:eastAsia="宋体"/>
          <w:b/>
          <w:bCs w:val="0"/>
          <w:color w:val="auto"/>
          <w:kern w:val="28"/>
          <w:sz w:val="28"/>
          <w:szCs w:val="28"/>
        </w:rPr>
        <w:t>4</w:t>
      </w:r>
      <w:r>
        <w:rPr>
          <w:rFonts w:hint="eastAsia" w:ascii="宋体" w:hAnsi="宋体" w:eastAsia="宋体"/>
          <w:b/>
          <w:bCs w:val="0"/>
          <w:color w:val="auto"/>
          <w:kern w:val="28"/>
          <w:sz w:val="28"/>
          <w:szCs w:val="28"/>
        </w:rPr>
        <w:t>采剥单元评价</w:t>
      </w:r>
      <w:bookmarkEnd w:id="187"/>
      <w:bookmarkEnd w:id="188"/>
    </w:p>
    <w:p>
      <w:pPr>
        <w:pStyle w:val="5"/>
        <w:keepLines w:val="0"/>
        <w:widowControl/>
        <w:spacing w:before="120" w:after="120" w:line="500" w:lineRule="exact"/>
        <w:rPr>
          <w:rFonts w:ascii="宋体" w:hAnsi="宋体"/>
          <w:color w:val="auto"/>
          <w:kern w:val="28"/>
          <w:sz w:val="28"/>
          <w:szCs w:val="28"/>
        </w:rPr>
      </w:pPr>
      <w:r>
        <w:rPr>
          <w:rFonts w:ascii="宋体" w:hAnsi="宋体"/>
          <w:color w:val="auto"/>
          <w:kern w:val="28"/>
          <w:sz w:val="28"/>
          <w:szCs w:val="28"/>
        </w:rPr>
        <w:t>3.4.1</w:t>
      </w:r>
      <w:r>
        <w:rPr>
          <w:rFonts w:hint="eastAsia" w:ascii="宋体" w:hAnsi="宋体"/>
          <w:color w:val="auto"/>
          <w:kern w:val="28"/>
          <w:sz w:val="28"/>
          <w:szCs w:val="28"/>
        </w:rPr>
        <w:t>开采要素及开采方法子单元</w:t>
      </w:r>
    </w:p>
    <w:p>
      <w:pPr>
        <w:widowControl/>
        <w:spacing w:line="500" w:lineRule="exact"/>
        <w:jc w:val="center"/>
        <w:outlineLvl w:val="4"/>
        <w:rPr>
          <w:rFonts w:ascii="宋体" w:hAnsi="宋体"/>
          <w:b/>
          <w:color w:val="auto"/>
          <w:sz w:val="24"/>
        </w:rPr>
      </w:pPr>
      <w:r>
        <w:rPr>
          <w:rFonts w:hint="eastAsia" w:ascii="宋体" w:hAnsi="宋体"/>
          <w:b/>
          <w:color w:val="auto"/>
          <w:sz w:val="24"/>
        </w:rPr>
        <w:t>表</w:t>
      </w:r>
      <w:r>
        <w:rPr>
          <w:rFonts w:ascii="宋体" w:hAnsi="宋体"/>
          <w:b/>
          <w:color w:val="auto"/>
          <w:sz w:val="24"/>
        </w:rPr>
        <w:t>3</w:t>
      </w:r>
      <w:r>
        <w:rPr>
          <w:rFonts w:hint="eastAsia" w:ascii="宋体" w:hAnsi="宋体"/>
          <w:b/>
          <w:color w:val="auto"/>
          <w:sz w:val="24"/>
        </w:rPr>
        <w:t>-</w:t>
      </w:r>
      <w:r>
        <w:rPr>
          <w:rFonts w:ascii="宋体" w:hAnsi="宋体"/>
          <w:b/>
          <w:color w:val="auto"/>
          <w:sz w:val="24"/>
        </w:rPr>
        <w:t xml:space="preserve">4 </w:t>
      </w:r>
      <w:r>
        <w:rPr>
          <w:rFonts w:hint="eastAsia" w:ascii="宋体" w:hAnsi="宋体"/>
          <w:b/>
          <w:color w:val="auto"/>
          <w:sz w:val="24"/>
        </w:rPr>
        <w:t>开采要素及</w:t>
      </w:r>
      <w:r>
        <w:rPr>
          <w:rFonts w:ascii="宋体" w:hAnsi="宋体"/>
          <w:b/>
          <w:color w:val="auto"/>
          <w:sz w:val="24"/>
        </w:rPr>
        <w:t>开采方法子单元</w:t>
      </w:r>
      <w:r>
        <w:rPr>
          <w:rFonts w:hint="eastAsia" w:ascii="宋体" w:hAnsi="宋体"/>
          <w:b/>
          <w:color w:val="auto"/>
          <w:sz w:val="24"/>
        </w:rPr>
        <w:t>安全检查表</w:t>
      </w:r>
    </w:p>
    <w:tbl>
      <w:tblPr>
        <w:tblStyle w:val="41"/>
        <w:tblW w:w="140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4"/>
        <w:gridCol w:w="1134"/>
        <w:gridCol w:w="4422"/>
        <w:gridCol w:w="2494"/>
        <w:gridCol w:w="850"/>
        <w:gridCol w:w="43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94" w:type="dxa"/>
            <w:vAlign w:val="center"/>
          </w:tcPr>
          <w:p>
            <w:pPr>
              <w:widowControl/>
              <w:jc w:val="center"/>
              <w:rPr>
                <w:rFonts w:ascii="宋体" w:hAnsi="宋体"/>
                <w:b/>
                <w:bCs/>
                <w:color w:val="auto"/>
                <w:szCs w:val="21"/>
              </w:rPr>
            </w:pPr>
            <w:r>
              <w:rPr>
                <w:rFonts w:hint="eastAsia" w:ascii="宋体" w:hAnsi="宋体"/>
                <w:b/>
                <w:bCs/>
                <w:color w:val="auto"/>
                <w:szCs w:val="21"/>
              </w:rPr>
              <w:t>序号</w:t>
            </w:r>
          </w:p>
        </w:tc>
        <w:tc>
          <w:tcPr>
            <w:tcW w:w="1134" w:type="dxa"/>
            <w:vAlign w:val="center"/>
          </w:tcPr>
          <w:p>
            <w:pPr>
              <w:widowControl/>
              <w:jc w:val="center"/>
              <w:rPr>
                <w:rFonts w:ascii="宋体" w:hAnsi="宋体"/>
                <w:b/>
                <w:bCs/>
                <w:color w:val="auto"/>
                <w:szCs w:val="21"/>
              </w:rPr>
            </w:pPr>
            <w:r>
              <w:rPr>
                <w:rFonts w:hint="eastAsia" w:ascii="宋体" w:hAnsi="宋体"/>
                <w:b/>
                <w:bCs/>
                <w:color w:val="auto"/>
                <w:szCs w:val="21"/>
              </w:rPr>
              <w:t>检查项目</w:t>
            </w:r>
          </w:p>
        </w:tc>
        <w:tc>
          <w:tcPr>
            <w:tcW w:w="4422" w:type="dxa"/>
            <w:vAlign w:val="center"/>
          </w:tcPr>
          <w:p>
            <w:pPr>
              <w:widowControl/>
              <w:jc w:val="center"/>
              <w:rPr>
                <w:rFonts w:ascii="宋体" w:hAnsi="宋体"/>
                <w:b/>
                <w:bCs/>
                <w:color w:val="auto"/>
                <w:szCs w:val="21"/>
              </w:rPr>
            </w:pPr>
            <w:r>
              <w:rPr>
                <w:rFonts w:hint="eastAsia" w:ascii="宋体" w:hAnsi="宋体"/>
                <w:b/>
                <w:bCs/>
                <w:color w:val="auto"/>
                <w:szCs w:val="21"/>
              </w:rPr>
              <w:t>检查内容</w:t>
            </w:r>
          </w:p>
        </w:tc>
        <w:tc>
          <w:tcPr>
            <w:tcW w:w="2494" w:type="dxa"/>
            <w:vAlign w:val="center"/>
          </w:tcPr>
          <w:p>
            <w:pPr>
              <w:widowControl/>
              <w:jc w:val="center"/>
              <w:rPr>
                <w:rFonts w:ascii="宋体" w:hAnsi="宋体"/>
                <w:b/>
                <w:bCs/>
                <w:color w:val="auto"/>
                <w:szCs w:val="21"/>
              </w:rPr>
            </w:pPr>
            <w:r>
              <w:rPr>
                <w:rFonts w:hint="eastAsia" w:ascii="宋体" w:hAnsi="宋体"/>
                <w:b/>
                <w:bCs/>
                <w:color w:val="auto"/>
                <w:szCs w:val="21"/>
              </w:rPr>
              <w:t>依据标准</w:t>
            </w:r>
          </w:p>
        </w:tc>
        <w:tc>
          <w:tcPr>
            <w:tcW w:w="850" w:type="dxa"/>
            <w:vAlign w:val="center"/>
          </w:tcPr>
          <w:p>
            <w:pPr>
              <w:widowControl/>
              <w:jc w:val="center"/>
              <w:rPr>
                <w:rFonts w:ascii="宋体" w:hAnsi="宋体"/>
                <w:b/>
                <w:bCs/>
                <w:color w:val="auto"/>
                <w:szCs w:val="21"/>
              </w:rPr>
            </w:pPr>
            <w:r>
              <w:rPr>
                <w:rFonts w:hint="eastAsia" w:ascii="宋体" w:hAnsi="宋体"/>
                <w:b/>
                <w:bCs/>
                <w:color w:val="auto"/>
                <w:szCs w:val="21"/>
              </w:rPr>
              <w:t>检查</w:t>
            </w:r>
          </w:p>
          <w:p>
            <w:pPr>
              <w:widowControl/>
              <w:jc w:val="center"/>
              <w:rPr>
                <w:rFonts w:ascii="宋体" w:hAnsi="宋体"/>
                <w:b/>
                <w:bCs/>
                <w:color w:val="auto"/>
                <w:szCs w:val="21"/>
              </w:rPr>
            </w:pPr>
            <w:r>
              <w:rPr>
                <w:rFonts w:hint="eastAsia" w:ascii="宋体" w:hAnsi="宋体"/>
                <w:b/>
                <w:bCs/>
                <w:color w:val="auto"/>
                <w:szCs w:val="21"/>
              </w:rPr>
              <w:t>结果</w:t>
            </w:r>
          </w:p>
        </w:tc>
        <w:tc>
          <w:tcPr>
            <w:tcW w:w="4309" w:type="dxa"/>
            <w:vAlign w:val="center"/>
          </w:tcPr>
          <w:p>
            <w:pPr>
              <w:widowControl/>
              <w:jc w:val="center"/>
              <w:rPr>
                <w:rFonts w:ascii="宋体" w:hAnsi="宋体"/>
                <w:b/>
                <w:bCs/>
                <w:color w:val="auto"/>
                <w:szCs w:val="21"/>
              </w:rPr>
            </w:pPr>
            <w:r>
              <w:rPr>
                <w:rFonts w:hint="eastAsia" w:ascii="宋体" w:hAnsi="宋体"/>
                <w:b/>
                <w:bCs/>
                <w:color w:val="auto"/>
                <w:szCs w:val="21"/>
              </w:rPr>
              <w:t>可行性研究报告规划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dxa"/>
            <w:vAlign w:val="center"/>
          </w:tcPr>
          <w:p>
            <w:pPr>
              <w:widowControl/>
              <w:jc w:val="center"/>
              <w:rPr>
                <w:rFonts w:ascii="宋体" w:hAnsi="宋体"/>
                <w:bCs/>
                <w:color w:val="auto"/>
                <w:szCs w:val="21"/>
              </w:rPr>
            </w:pPr>
            <w:r>
              <w:rPr>
                <w:rFonts w:hint="eastAsia" w:ascii="宋体" w:hAnsi="宋体"/>
                <w:bCs/>
                <w:color w:val="auto"/>
                <w:szCs w:val="21"/>
              </w:rPr>
              <w:t>1</w:t>
            </w:r>
          </w:p>
        </w:tc>
        <w:tc>
          <w:tcPr>
            <w:tcW w:w="1134" w:type="dxa"/>
            <w:vAlign w:val="center"/>
          </w:tcPr>
          <w:p>
            <w:pPr>
              <w:widowControl/>
              <w:jc w:val="center"/>
              <w:rPr>
                <w:rFonts w:ascii="宋体" w:hAnsi="宋体"/>
                <w:bCs/>
                <w:color w:val="auto"/>
                <w:szCs w:val="21"/>
              </w:rPr>
            </w:pPr>
            <w:r>
              <w:rPr>
                <w:rFonts w:hint="eastAsia" w:ascii="宋体" w:hAnsi="宋体"/>
                <w:bCs/>
                <w:color w:val="auto"/>
                <w:szCs w:val="21"/>
              </w:rPr>
              <w:t>开采方法</w:t>
            </w:r>
          </w:p>
        </w:tc>
        <w:tc>
          <w:tcPr>
            <w:tcW w:w="4422" w:type="dxa"/>
            <w:vAlign w:val="center"/>
          </w:tcPr>
          <w:p>
            <w:pPr>
              <w:widowControl/>
              <w:rPr>
                <w:rFonts w:ascii="宋体" w:hAnsi="宋体"/>
                <w:bCs/>
                <w:color w:val="auto"/>
                <w:szCs w:val="21"/>
              </w:rPr>
            </w:pPr>
            <w:r>
              <w:rPr>
                <w:rFonts w:hint="eastAsia" w:ascii="宋体" w:hAnsi="宋体"/>
                <w:bCs/>
                <w:color w:val="auto"/>
                <w:szCs w:val="21"/>
              </w:rPr>
              <w:t>露天开采应遵循自上而下的开采顺序，分台阶开采。</w:t>
            </w:r>
          </w:p>
        </w:tc>
        <w:tc>
          <w:tcPr>
            <w:tcW w:w="2494" w:type="dxa"/>
            <w:vMerge w:val="restart"/>
            <w:vAlign w:val="center"/>
          </w:tcPr>
          <w:p>
            <w:pPr>
              <w:widowControl/>
              <w:jc w:val="center"/>
              <w:rPr>
                <w:rFonts w:ascii="宋体" w:hAnsi="宋体"/>
                <w:bCs/>
                <w:color w:val="auto"/>
                <w:szCs w:val="21"/>
              </w:rPr>
            </w:pPr>
            <w:r>
              <w:rPr>
                <w:rFonts w:hint="eastAsia" w:ascii="宋体" w:hAnsi="宋体"/>
                <w:bCs/>
                <w:color w:val="auto"/>
                <w:szCs w:val="21"/>
              </w:rPr>
              <w:t>《金属非金属矿山安全规程》第</w:t>
            </w:r>
            <w:r>
              <w:rPr>
                <w:rFonts w:ascii="宋体" w:hAnsi="宋体"/>
                <w:bCs/>
                <w:color w:val="auto"/>
                <w:szCs w:val="21"/>
              </w:rPr>
              <w:t>5.2.1.1</w:t>
            </w:r>
            <w:r>
              <w:rPr>
                <w:rFonts w:hint="eastAsia" w:ascii="宋体" w:hAnsi="宋体"/>
                <w:bCs/>
                <w:color w:val="auto"/>
                <w:szCs w:val="21"/>
              </w:rPr>
              <w:t>条</w:t>
            </w:r>
          </w:p>
        </w:tc>
        <w:tc>
          <w:tcPr>
            <w:tcW w:w="850" w:type="dxa"/>
            <w:vAlign w:val="center"/>
          </w:tcPr>
          <w:p>
            <w:pPr>
              <w:widowControl/>
              <w:jc w:val="center"/>
              <w:rPr>
                <w:rFonts w:ascii="宋体" w:hAnsi="宋体"/>
                <w:bCs/>
                <w:color w:val="auto"/>
                <w:szCs w:val="21"/>
              </w:rPr>
            </w:pPr>
            <w:r>
              <w:rPr>
                <w:rFonts w:hint="eastAsia" w:ascii="宋体" w:hAnsi="宋体"/>
                <w:bCs/>
                <w:color w:val="auto"/>
                <w:szCs w:val="21"/>
              </w:rPr>
              <w:t>符合</w:t>
            </w:r>
          </w:p>
        </w:tc>
        <w:tc>
          <w:tcPr>
            <w:tcW w:w="4309" w:type="dxa"/>
            <w:vAlign w:val="center"/>
          </w:tcPr>
          <w:p>
            <w:pPr>
              <w:widowControl/>
              <w:rPr>
                <w:rFonts w:ascii="宋体" w:hAnsi="宋体"/>
                <w:bCs/>
                <w:color w:val="auto"/>
                <w:szCs w:val="21"/>
              </w:rPr>
            </w:pPr>
            <w:r>
              <w:rPr>
                <w:rFonts w:hint="eastAsia" w:ascii="宋体" w:hAnsi="宋体"/>
                <w:bCs/>
                <w:color w:val="auto"/>
                <w:szCs w:val="21"/>
              </w:rPr>
              <w:t>采用“自上而下，分水平台阶逐层开采”，并坚持“采剥并举，剥离先行”。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dxa"/>
            <w:vAlign w:val="center"/>
          </w:tcPr>
          <w:p>
            <w:pPr>
              <w:widowControl/>
              <w:jc w:val="center"/>
              <w:rPr>
                <w:rFonts w:ascii="宋体" w:hAnsi="宋体"/>
                <w:bCs/>
                <w:color w:val="auto"/>
                <w:szCs w:val="21"/>
              </w:rPr>
            </w:pPr>
            <w:r>
              <w:rPr>
                <w:rFonts w:hint="eastAsia" w:ascii="宋体" w:hAnsi="宋体"/>
                <w:bCs/>
                <w:color w:val="auto"/>
                <w:szCs w:val="21"/>
              </w:rPr>
              <w:t>2</w:t>
            </w:r>
          </w:p>
        </w:tc>
        <w:tc>
          <w:tcPr>
            <w:tcW w:w="1134" w:type="dxa"/>
            <w:vAlign w:val="center"/>
          </w:tcPr>
          <w:p>
            <w:pPr>
              <w:widowControl/>
              <w:jc w:val="center"/>
              <w:rPr>
                <w:rFonts w:ascii="宋体" w:hAnsi="宋体"/>
                <w:bCs/>
                <w:color w:val="auto"/>
                <w:szCs w:val="21"/>
              </w:rPr>
            </w:pPr>
            <w:r>
              <w:rPr>
                <w:rFonts w:hint="eastAsia" w:ascii="宋体" w:hAnsi="宋体"/>
                <w:bCs/>
                <w:color w:val="auto"/>
                <w:szCs w:val="21"/>
              </w:rPr>
              <w:t>台阶高度</w:t>
            </w:r>
          </w:p>
        </w:tc>
        <w:tc>
          <w:tcPr>
            <w:tcW w:w="4422" w:type="dxa"/>
            <w:vAlign w:val="center"/>
          </w:tcPr>
          <w:p>
            <w:pPr>
              <w:widowControl/>
              <w:rPr>
                <w:rFonts w:ascii="宋体" w:hAnsi="宋体"/>
                <w:bCs/>
                <w:color w:val="auto"/>
                <w:szCs w:val="21"/>
              </w:rPr>
            </w:pPr>
            <w:r>
              <w:rPr>
                <w:rFonts w:hint="eastAsia" w:ascii="宋体" w:hAnsi="宋体"/>
                <w:bCs/>
                <w:color w:val="auto"/>
                <w:szCs w:val="21"/>
              </w:rPr>
              <w:t>松软的岩土、砂状的矿岩，不爆破，不大于机械的最大挖掘高度。</w:t>
            </w:r>
          </w:p>
        </w:tc>
        <w:tc>
          <w:tcPr>
            <w:tcW w:w="2494" w:type="dxa"/>
            <w:vMerge w:val="continue"/>
            <w:vAlign w:val="center"/>
          </w:tcPr>
          <w:p>
            <w:pPr>
              <w:widowControl/>
              <w:jc w:val="center"/>
              <w:rPr>
                <w:rFonts w:ascii="宋体" w:hAnsi="宋体"/>
                <w:bCs/>
                <w:color w:val="auto"/>
                <w:szCs w:val="21"/>
              </w:rPr>
            </w:pPr>
          </w:p>
        </w:tc>
        <w:tc>
          <w:tcPr>
            <w:tcW w:w="850" w:type="dxa"/>
            <w:vAlign w:val="center"/>
          </w:tcPr>
          <w:p>
            <w:pPr>
              <w:widowControl/>
              <w:jc w:val="center"/>
              <w:rPr>
                <w:rFonts w:ascii="宋体" w:hAnsi="宋体"/>
                <w:bCs/>
                <w:color w:val="auto"/>
                <w:szCs w:val="21"/>
              </w:rPr>
            </w:pPr>
            <w:r>
              <w:rPr>
                <w:rFonts w:hint="eastAsia" w:ascii="宋体" w:hAnsi="宋体"/>
                <w:bCs/>
                <w:color w:val="auto"/>
                <w:szCs w:val="21"/>
              </w:rPr>
              <w:t>不符合</w:t>
            </w:r>
          </w:p>
        </w:tc>
        <w:tc>
          <w:tcPr>
            <w:tcW w:w="4309" w:type="dxa"/>
            <w:vAlign w:val="center"/>
          </w:tcPr>
          <w:p>
            <w:pPr>
              <w:widowControl/>
              <w:rPr>
                <w:rFonts w:ascii="宋体" w:hAnsi="宋体"/>
                <w:bCs/>
                <w:color w:val="auto"/>
                <w:szCs w:val="21"/>
              </w:rPr>
            </w:pPr>
            <w:r>
              <w:rPr>
                <w:rFonts w:hint="eastAsia" w:ascii="宋体" w:hAnsi="宋体"/>
                <w:bCs/>
                <w:color w:val="auto"/>
                <w:szCs w:val="21"/>
              </w:rPr>
              <w:t>顶部工作</w:t>
            </w:r>
            <w:r>
              <w:rPr>
                <w:rFonts w:ascii="宋体" w:hAnsi="宋体"/>
                <w:bCs/>
                <w:color w:val="auto"/>
                <w:szCs w:val="21"/>
              </w:rPr>
              <w:t>台阶</w:t>
            </w:r>
            <w:r>
              <w:rPr>
                <w:rFonts w:hint="eastAsia" w:ascii="宋体" w:hAnsi="宋体"/>
                <w:bCs/>
                <w:color w:val="auto"/>
                <w:szCs w:val="21"/>
              </w:rPr>
              <w:t>为1</w:t>
            </w:r>
            <w:r>
              <w:rPr>
                <w:rFonts w:ascii="宋体" w:hAnsi="宋体"/>
                <w:bCs/>
                <w:color w:val="auto"/>
                <w:szCs w:val="21"/>
              </w:rPr>
              <w:t>2</w:t>
            </w:r>
            <w:r>
              <w:rPr>
                <w:rFonts w:hint="eastAsia" w:ascii="宋体" w:hAnsi="宋体"/>
                <w:bCs/>
                <w:color w:val="auto"/>
                <w:szCs w:val="21"/>
              </w:rPr>
              <w:t>m，高度大于挖掘机</w:t>
            </w:r>
            <w:r>
              <w:rPr>
                <w:rFonts w:ascii="宋体" w:hAnsi="宋体"/>
                <w:bCs/>
                <w:color w:val="auto"/>
                <w:szCs w:val="21"/>
              </w:rPr>
              <w:t>的最大挖掘高度</w:t>
            </w:r>
            <w:r>
              <w:rPr>
                <w:rFonts w:hint="eastAsia" w:ascii="宋体" w:hAnsi="宋体"/>
                <w:bCs/>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dxa"/>
            <w:vAlign w:val="center"/>
          </w:tcPr>
          <w:p>
            <w:pPr>
              <w:widowControl/>
              <w:jc w:val="center"/>
              <w:rPr>
                <w:rFonts w:ascii="宋体" w:hAnsi="宋体"/>
                <w:bCs/>
                <w:color w:val="auto"/>
                <w:szCs w:val="21"/>
              </w:rPr>
            </w:pPr>
            <w:r>
              <w:rPr>
                <w:rFonts w:hint="eastAsia" w:ascii="宋体" w:hAnsi="宋体"/>
                <w:bCs/>
                <w:color w:val="auto"/>
                <w:szCs w:val="21"/>
              </w:rPr>
              <w:t>3</w:t>
            </w:r>
          </w:p>
        </w:tc>
        <w:tc>
          <w:tcPr>
            <w:tcW w:w="1134" w:type="dxa"/>
            <w:vAlign w:val="center"/>
          </w:tcPr>
          <w:p>
            <w:pPr>
              <w:widowControl/>
              <w:jc w:val="center"/>
              <w:rPr>
                <w:rFonts w:ascii="宋体" w:hAnsi="宋体"/>
                <w:bCs/>
                <w:color w:val="auto"/>
                <w:szCs w:val="21"/>
              </w:rPr>
            </w:pPr>
            <w:r>
              <w:rPr>
                <w:rFonts w:hint="eastAsia" w:ascii="宋体" w:hAnsi="宋体"/>
                <w:bCs/>
                <w:color w:val="auto"/>
                <w:szCs w:val="21"/>
              </w:rPr>
              <w:t>安全平台及清扫平台</w:t>
            </w:r>
          </w:p>
        </w:tc>
        <w:tc>
          <w:tcPr>
            <w:tcW w:w="4422" w:type="dxa"/>
            <w:vAlign w:val="center"/>
          </w:tcPr>
          <w:p>
            <w:pPr>
              <w:widowControl/>
              <w:rPr>
                <w:rFonts w:ascii="宋体" w:hAnsi="宋体"/>
                <w:bCs/>
                <w:color w:val="auto"/>
                <w:szCs w:val="21"/>
              </w:rPr>
            </w:pPr>
            <w:r>
              <w:rPr>
                <w:rFonts w:hint="eastAsia" w:ascii="宋体" w:hAnsi="宋体"/>
                <w:color w:val="auto"/>
                <w:szCs w:val="21"/>
              </w:rPr>
              <w:t>露天采场应设安全平台和清扫平台。人工清扫平台宽度不小于6m，机械清扫平台宽度应满足设备要求且不小于8m。</w:t>
            </w:r>
          </w:p>
        </w:tc>
        <w:tc>
          <w:tcPr>
            <w:tcW w:w="2494" w:type="dxa"/>
            <w:vAlign w:val="center"/>
          </w:tcPr>
          <w:p>
            <w:pPr>
              <w:widowControl/>
              <w:jc w:val="center"/>
              <w:rPr>
                <w:rFonts w:ascii="宋体" w:hAnsi="宋体"/>
                <w:bCs/>
                <w:color w:val="auto"/>
                <w:szCs w:val="21"/>
              </w:rPr>
            </w:pPr>
            <w:r>
              <w:rPr>
                <w:rFonts w:ascii="宋体" w:hAnsi="宋体"/>
                <w:color w:val="auto"/>
                <w:szCs w:val="21"/>
              </w:rPr>
              <w:t>《金属非金属矿山安全规程》</w:t>
            </w:r>
            <w:r>
              <w:rPr>
                <w:rFonts w:hint="eastAsia" w:ascii="宋体" w:hAnsi="宋体"/>
                <w:color w:val="auto"/>
                <w:szCs w:val="21"/>
              </w:rPr>
              <w:t>第5.2.</w:t>
            </w:r>
            <w:r>
              <w:rPr>
                <w:rFonts w:ascii="宋体" w:hAnsi="宋体"/>
                <w:color w:val="auto"/>
                <w:szCs w:val="21"/>
              </w:rPr>
              <w:t>1</w:t>
            </w:r>
            <w:r>
              <w:rPr>
                <w:rFonts w:hint="eastAsia" w:ascii="宋体" w:hAnsi="宋体"/>
                <w:color w:val="auto"/>
                <w:szCs w:val="21"/>
              </w:rPr>
              <w:t>.4条。</w:t>
            </w:r>
          </w:p>
        </w:tc>
        <w:tc>
          <w:tcPr>
            <w:tcW w:w="850" w:type="dxa"/>
            <w:vAlign w:val="center"/>
          </w:tcPr>
          <w:p>
            <w:pPr>
              <w:widowControl/>
              <w:jc w:val="center"/>
              <w:rPr>
                <w:rFonts w:ascii="宋体" w:hAnsi="宋体"/>
                <w:bCs/>
                <w:color w:val="auto"/>
                <w:szCs w:val="21"/>
              </w:rPr>
            </w:pPr>
            <w:r>
              <w:rPr>
                <w:rFonts w:hint="eastAsia" w:ascii="宋体" w:hAnsi="宋体"/>
                <w:bCs/>
                <w:color w:val="auto"/>
                <w:szCs w:val="21"/>
              </w:rPr>
              <w:t>符合</w:t>
            </w:r>
          </w:p>
        </w:tc>
        <w:tc>
          <w:tcPr>
            <w:tcW w:w="4309" w:type="dxa"/>
            <w:vAlign w:val="center"/>
          </w:tcPr>
          <w:p>
            <w:pPr>
              <w:widowControl/>
              <w:rPr>
                <w:rFonts w:ascii="宋体" w:hAnsi="宋体"/>
                <w:bCs/>
                <w:color w:val="auto"/>
                <w:szCs w:val="21"/>
              </w:rPr>
            </w:pPr>
            <w:r>
              <w:rPr>
                <w:rFonts w:hint="eastAsia" w:ascii="宋体" w:hAnsi="宋体"/>
                <w:bCs/>
                <w:color w:val="auto"/>
                <w:szCs w:val="21"/>
              </w:rPr>
              <w:t>安全平台宽度</w:t>
            </w:r>
            <w:r>
              <w:rPr>
                <w:rFonts w:ascii="宋体" w:hAnsi="宋体"/>
                <w:bCs/>
                <w:color w:val="auto"/>
                <w:szCs w:val="21"/>
              </w:rPr>
              <w:t>4</w:t>
            </w:r>
            <w:r>
              <w:rPr>
                <w:rFonts w:hint="eastAsia" w:ascii="宋体" w:hAnsi="宋体"/>
                <w:bCs/>
                <w:color w:val="auto"/>
                <w:szCs w:val="21"/>
              </w:rPr>
              <w:t>m，清扫平台宽度6m，不设置机械清扫平台。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dxa"/>
            <w:vAlign w:val="center"/>
          </w:tcPr>
          <w:p>
            <w:pPr>
              <w:widowControl/>
              <w:jc w:val="center"/>
              <w:rPr>
                <w:rFonts w:ascii="宋体" w:hAnsi="宋体"/>
                <w:bCs/>
                <w:color w:val="auto"/>
                <w:szCs w:val="21"/>
              </w:rPr>
            </w:pPr>
            <w:r>
              <w:rPr>
                <w:rFonts w:ascii="宋体" w:hAnsi="宋体"/>
                <w:bCs/>
                <w:color w:val="auto"/>
                <w:szCs w:val="21"/>
              </w:rPr>
              <w:t>4</w:t>
            </w:r>
          </w:p>
        </w:tc>
        <w:tc>
          <w:tcPr>
            <w:tcW w:w="1134" w:type="dxa"/>
            <w:vAlign w:val="center"/>
          </w:tcPr>
          <w:p>
            <w:pPr>
              <w:widowControl/>
              <w:jc w:val="center"/>
              <w:rPr>
                <w:rFonts w:ascii="宋体" w:hAnsi="宋体"/>
                <w:bCs/>
                <w:color w:val="auto"/>
                <w:szCs w:val="21"/>
              </w:rPr>
            </w:pPr>
            <w:r>
              <w:rPr>
                <w:rFonts w:hint="eastAsia" w:ascii="宋体" w:hAnsi="宋体"/>
                <w:bCs/>
                <w:color w:val="auto"/>
                <w:szCs w:val="21"/>
              </w:rPr>
              <w:t>台阶坡面角</w:t>
            </w:r>
          </w:p>
        </w:tc>
        <w:tc>
          <w:tcPr>
            <w:tcW w:w="4422" w:type="dxa"/>
            <w:vAlign w:val="center"/>
          </w:tcPr>
          <w:p>
            <w:pPr>
              <w:widowControl/>
              <w:rPr>
                <w:rFonts w:ascii="宋体" w:hAnsi="宋体"/>
                <w:bCs/>
                <w:color w:val="auto"/>
                <w:szCs w:val="21"/>
              </w:rPr>
            </w:pPr>
            <w:r>
              <w:rPr>
                <w:rFonts w:hint="eastAsia" w:ascii="宋体" w:hAnsi="宋体"/>
                <w:bCs/>
                <w:color w:val="auto"/>
                <w:szCs w:val="21"/>
              </w:rPr>
              <w:t>露天边坡应符合设计要求，保证边坡整体的安全稳定。</w:t>
            </w:r>
          </w:p>
        </w:tc>
        <w:tc>
          <w:tcPr>
            <w:tcW w:w="2494" w:type="dxa"/>
          </w:tcPr>
          <w:p>
            <w:pPr>
              <w:widowControl/>
              <w:jc w:val="center"/>
              <w:rPr>
                <w:rFonts w:ascii="宋体" w:hAnsi="宋体"/>
                <w:bCs/>
                <w:color w:val="auto"/>
                <w:szCs w:val="21"/>
              </w:rPr>
            </w:pPr>
            <w:r>
              <w:rPr>
                <w:rFonts w:hint="eastAsia" w:ascii="宋体" w:hAnsi="宋体"/>
                <w:bCs/>
                <w:color w:val="auto"/>
                <w:szCs w:val="21"/>
              </w:rPr>
              <w:t>《金属非金属矿山安全规程》第</w:t>
            </w:r>
            <w:r>
              <w:rPr>
                <w:rFonts w:ascii="宋体" w:hAnsi="宋体"/>
                <w:bCs/>
                <w:color w:val="auto"/>
                <w:szCs w:val="21"/>
              </w:rPr>
              <w:t>5.2.4.1</w:t>
            </w:r>
            <w:r>
              <w:rPr>
                <w:rFonts w:hint="eastAsia" w:ascii="宋体" w:hAnsi="宋体"/>
                <w:bCs/>
                <w:color w:val="auto"/>
                <w:szCs w:val="21"/>
              </w:rPr>
              <w:t>条</w:t>
            </w:r>
          </w:p>
        </w:tc>
        <w:tc>
          <w:tcPr>
            <w:tcW w:w="850" w:type="dxa"/>
            <w:vAlign w:val="center"/>
          </w:tcPr>
          <w:p>
            <w:pPr>
              <w:widowControl/>
              <w:jc w:val="center"/>
              <w:rPr>
                <w:rFonts w:ascii="宋体" w:hAnsi="宋体"/>
                <w:bCs/>
                <w:color w:val="auto"/>
                <w:szCs w:val="21"/>
              </w:rPr>
            </w:pPr>
            <w:r>
              <w:rPr>
                <w:rFonts w:hint="eastAsia" w:ascii="宋体" w:hAnsi="宋体"/>
                <w:bCs/>
                <w:color w:val="auto"/>
                <w:szCs w:val="21"/>
              </w:rPr>
              <w:t>符合</w:t>
            </w:r>
          </w:p>
        </w:tc>
        <w:tc>
          <w:tcPr>
            <w:tcW w:w="4309" w:type="dxa"/>
            <w:vAlign w:val="center"/>
          </w:tcPr>
          <w:p>
            <w:pPr>
              <w:widowControl/>
              <w:rPr>
                <w:rFonts w:ascii="宋体" w:hAnsi="宋体"/>
                <w:bCs/>
                <w:color w:val="auto"/>
                <w:szCs w:val="21"/>
              </w:rPr>
            </w:pPr>
            <w:r>
              <w:rPr>
                <w:rFonts w:hint="eastAsia" w:ascii="宋体" w:hAnsi="宋体"/>
                <w:bCs/>
                <w:color w:val="auto"/>
                <w:szCs w:val="21"/>
              </w:rPr>
              <w:t>表土台阶坡面角45°，高岭土台阶坡面角55°。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dxa"/>
            <w:vAlign w:val="center"/>
          </w:tcPr>
          <w:p>
            <w:pPr>
              <w:widowControl/>
              <w:jc w:val="center"/>
              <w:rPr>
                <w:rFonts w:ascii="宋体" w:hAnsi="宋体"/>
                <w:bCs/>
                <w:color w:val="auto"/>
                <w:szCs w:val="21"/>
              </w:rPr>
            </w:pPr>
            <w:r>
              <w:rPr>
                <w:rFonts w:ascii="宋体" w:hAnsi="宋体"/>
                <w:bCs/>
                <w:color w:val="auto"/>
                <w:szCs w:val="21"/>
              </w:rPr>
              <w:t>5</w:t>
            </w:r>
          </w:p>
        </w:tc>
        <w:tc>
          <w:tcPr>
            <w:tcW w:w="1134" w:type="dxa"/>
            <w:vAlign w:val="center"/>
          </w:tcPr>
          <w:p>
            <w:pPr>
              <w:widowControl/>
              <w:jc w:val="center"/>
              <w:rPr>
                <w:rFonts w:ascii="宋体" w:hAnsi="宋体"/>
                <w:bCs/>
                <w:color w:val="auto"/>
                <w:szCs w:val="21"/>
              </w:rPr>
            </w:pPr>
            <w:r>
              <w:rPr>
                <w:rFonts w:hint="eastAsia" w:ascii="宋体" w:hAnsi="宋体"/>
                <w:bCs/>
                <w:color w:val="auto"/>
                <w:szCs w:val="21"/>
              </w:rPr>
              <w:t>最终边坡角</w:t>
            </w:r>
          </w:p>
        </w:tc>
        <w:tc>
          <w:tcPr>
            <w:tcW w:w="4422" w:type="dxa"/>
            <w:vAlign w:val="center"/>
          </w:tcPr>
          <w:p>
            <w:pPr>
              <w:widowControl/>
              <w:rPr>
                <w:rFonts w:ascii="宋体" w:hAnsi="宋体"/>
                <w:color w:val="auto"/>
                <w:szCs w:val="21"/>
              </w:rPr>
            </w:pPr>
            <w:r>
              <w:rPr>
                <w:rFonts w:hint="eastAsia" w:ascii="宋体" w:hAnsi="宋体"/>
                <w:color w:val="auto"/>
                <w:szCs w:val="21"/>
              </w:rPr>
              <w:t>邻近最终边坡作业应遵守下列规定：</w:t>
            </w:r>
          </w:p>
          <w:p>
            <w:pPr>
              <w:widowControl/>
              <w:rPr>
                <w:rFonts w:ascii="宋体" w:hAnsi="宋体"/>
                <w:color w:val="auto"/>
                <w:szCs w:val="21"/>
              </w:rPr>
            </w:pPr>
            <w:r>
              <w:rPr>
                <w:rFonts w:hint="eastAsia" w:ascii="宋体" w:hAnsi="宋体"/>
                <w:color w:val="auto"/>
                <w:szCs w:val="21"/>
              </w:rPr>
              <w:t>一一采用控制爆破减震；</w:t>
            </w:r>
          </w:p>
          <w:p>
            <w:pPr>
              <w:widowControl/>
              <w:rPr>
                <w:rFonts w:ascii="宋体" w:hAnsi="宋体"/>
                <w:bCs/>
                <w:color w:val="auto"/>
                <w:szCs w:val="21"/>
              </w:rPr>
            </w:pPr>
            <w:r>
              <w:rPr>
                <w:rFonts w:hint="eastAsia" w:ascii="宋体" w:hAnsi="宋体"/>
                <w:color w:val="auto"/>
                <w:szCs w:val="21"/>
              </w:rPr>
              <w:t>一一保持台阶的安全坡面角，不应超挖坡底。</w:t>
            </w:r>
          </w:p>
        </w:tc>
        <w:tc>
          <w:tcPr>
            <w:tcW w:w="2494" w:type="dxa"/>
            <w:vAlign w:val="center"/>
          </w:tcPr>
          <w:p>
            <w:pPr>
              <w:widowControl/>
              <w:jc w:val="center"/>
              <w:rPr>
                <w:rFonts w:ascii="宋体" w:hAnsi="宋体"/>
                <w:bCs/>
                <w:color w:val="auto"/>
                <w:szCs w:val="21"/>
              </w:rPr>
            </w:pPr>
            <w:r>
              <w:rPr>
                <w:rFonts w:ascii="宋体" w:hAnsi="宋体"/>
                <w:bCs/>
                <w:color w:val="auto"/>
                <w:szCs w:val="21"/>
              </w:rPr>
              <w:t>《金属非金属矿山安全规程》第5.</w:t>
            </w:r>
            <w:r>
              <w:rPr>
                <w:rFonts w:hint="eastAsia" w:ascii="宋体" w:hAnsi="宋体"/>
                <w:bCs/>
                <w:color w:val="auto"/>
                <w:szCs w:val="21"/>
              </w:rPr>
              <w:t>2</w:t>
            </w:r>
            <w:r>
              <w:rPr>
                <w:rFonts w:ascii="宋体" w:hAnsi="宋体"/>
                <w:bCs/>
                <w:color w:val="auto"/>
                <w:szCs w:val="21"/>
              </w:rPr>
              <w:t>.4.2条</w:t>
            </w:r>
          </w:p>
        </w:tc>
        <w:tc>
          <w:tcPr>
            <w:tcW w:w="850" w:type="dxa"/>
            <w:vAlign w:val="center"/>
          </w:tcPr>
          <w:p>
            <w:pPr>
              <w:widowControl/>
              <w:jc w:val="center"/>
              <w:rPr>
                <w:rFonts w:ascii="宋体" w:hAnsi="宋体"/>
                <w:bCs/>
                <w:color w:val="auto"/>
                <w:szCs w:val="21"/>
              </w:rPr>
            </w:pPr>
            <w:r>
              <w:rPr>
                <w:rFonts w:hint="eastAsia" w:ascii="宋体" w:hAnsi="宋体"/>
                <w:bCs/>
                <w:color w:val="auto"/>
                <w:szCs w:val="21"/>
              </w:rPr>
              <w:t>符合</w:t>
            </w:r>
          </w:p>
        </w:tc>
        <w:tc>
          <w:tcPr>
            <w:tcW w:w="4309" w:type="dxa"/>
            <w:vAlign w:val="center"/>
          </w:tcPr>
          <w:p>
            <w:pPr>
              <w:widowControl/>
              <w:rPr>
                <w:rFonts w:ascii="宋体" w:hAnsi="宋体"/>
                <w:bCs/>
                <w:color w:val="auto"/>
                <w:szCs w:val="21"/>
              </w:rPr>
            </w:pPr>
            <w:r>
              <w:rPr>
                <w:rFonts w:hint="eastAsia" w:ascii="宋体" w:hAnsi="宋体"/>
                <w:color w:val="auto"/>
                <w:szCs w:val="21"/>
              </w:rPr>
              <w:t>最终帮坡角：</w:t>
            </w:r>
            <w:r>
              <w:rPr>
                <w:rFonts w:ascii="宋体" w:hAnsi="宋体"/>
                <w:color w:val="auto"/>
                <w:szCs w:val="21"/>
              </w:rPr>
              <w:t>21</w:t>
            </w:r>
            <w:r>
              <w:rPr>
                <w:rFonts w:hint="eastAsia" w:ascii="宋体" w:hAnsi="宋体"/>
                <w:color w:val="auto"/>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dxa"/>
            <w:vAlign w:val="center"/>
          </w:tcPr>
          <w:p>
            <w:pPr>
              <w:widowControl/>
              <w:jc w:val="center"/>
              <w:rPr>
                <w:rFonts w:ascii="宋体" w:hAnsi="宋体"/>
                <w:bCs/>
                <w:color w:val="auto"/>
                <w:szCs w:val="21"/>
              </w:rPr>
            </w:pPr>
            <w:r>
              <w:rPr>
                <w:rFonts w:ascii="宋体" w:hAnsi="宋体"/>
                <w:bCs/>
                <w:color w:val="auto"/>
                <w:szCs w:val="21"/>
              </w:rPr>
              <w:t>6</w:t>
            </w:r>
          </w:p>
        </w:tc>
        <w:tc>
          <w:tcPr>
            <w:tcW w:w="1134" w:type="dxa"/>
            <w:vAlign w:val="center"/>
          </w:tcPr>
          <w:p>
            <w:pPr>
              <w:widowControl/>
              <w:jc w:val="center"/>
              <w:rPr>
                <w:rFonts w:ascii="宋体" w:hAnsi="宋体"/>
                <w:bCs/>
                <w:color w:val="auto"/>
                <w:szCs w:val="21"/>
              </w:rPr>
            </w:pPr>
            <w:r>
              <w:rPr>
                <w:rFonts w:hint="eastAsia" w:ascii="宋体" w:hAnsi="宋体"/>
                <w:bCs/>
                <w:color w:val="auto"/>
                <w:szCs w:val="21"/>
              </w:rPr>
              <w:t>挖掘机</w:t>
            </w:r>
          </w:p>
        </w:tc>
        <w:tc>
          <w:tcPr>
            <w:tcW w:w="4422" w:type="dxa"/>
            <w:vAlign w:val="center"/>
          </w:tcPr>
          <w:p>
            <w:pPr>
              <w:widowControl/>
              <w:rPr>
                <w:rFonts w:ascii="宋体" w:hAnsi="宋体"/>
                <w:color w:val="auto"/>
                <w:szCs w:val="21"/>
              </w:rPr>
            </w:pPr>
            <w:r>
              <w:rPr>
                <w:rFonts w:hint="eastAsia" w:ascii="宋体" w:hAnsi="宋体"/>
                <w:color w:val="auto"/>
                <w:szCs w:val="21"/>
              </w:rPr>
              <w:t>是否属于禁止使用的设备。</w:t>
            </w:r>
          </w:p>
        </w:tc>
        <w:tc>
          <w:tcPr>
            <w:tcW w:w="2494" w:type="dxa"/>
            <w:vAlign w:val="center"/>
          </w:tcPr>
          <w:p>
            <w:pPr>
              <w:widowControl/>
              <w:jc w:val="center"/>
              <w:rPr>
                <w:rFonts w:ascii="宋体" w:hAnsi="宋体"/>
                <w:bCs/>
                <w:color w:val="auto"/>
                <w:szCs w:val="21"/>
              </w:rPr>
            </w:pPr>
            <w:r>
              <w:rPr>
                <w:rFonts w:hint="eastAsia" w:ascii="宋体" w:hAnsi="宋体"/>
                <w:bCs/>
                <w:color w:val="auto"/>
                <w:szCs w:val="21"/>
              </w:rPr>
              <w:t>《转发国家安全监管总局关于发布金属非金属矿山禁止使用的设备及工艺目录（第二批）的通知》(粤安监管一〔2015〕7号)</w:t>
            </w:r>
          </w:p>
        </w:tc>
        <w:tc>
          <w:tcPr>
            <w:tcW w:w="850" w:type="dxa"/>
            <w:vAlign w:val="center"/>
          </w:tcPr>
          <w:p>
            <w:pPr>
              <w:widowControl/>
              <w:jc w:val="center"/>
              <w:rPr>
                <w:rFonts w:ascii="宋体" w:hAnsi="宋体"/>
                <w:bCs/>
                <w:color w:val="auto"/>
                <w:szCs w:val="21"/>
              </w:rPr>
            </w:pPr>
            <w:r>
              <w:rPr>
                <w:rFonts w:hint="eastAsia" w:ascii="宋体" w:hAnsi="宋体"/>
                <w:bCs/>
                <w:color w:val="auto"/>
                <w:szCs w:val="21"/>
              </w:rPr>
              <w:t>符合</w:t>
            </w:r>
          </w:p>
        </w:tc>
        <w:tc>
          <w:tcPr>
            <w:tcW w:w="4309" w:type="dxa"/>
            <w:vAlign w:val="center"/>
          </w:tcPr>
          <w:p>
            <w:pPr>
              <w:widowControl/>
              <w:rPr>
                <w:rFonts w:ascii="宋体" w:hAnsi="宋体"/>
                <w:color w:val="auto"/>
                <w:szCs w:val="21"/>
              </w:rPr>
            </w:pPr>
            <w:r>
              <w:rPr>
                <w:rFonts w:hint="eastAsia" w:ascii="宋体" w:hAnsi="宋体"/>
                <w:color w:val="auto"/>
                <w:szCs w:val="21"/>
              </w:rPr>
              <w:t>该矿山使用的挖掘机不属于禁止使用设备。</w:t>
            </w:r>
          </w:p>
        </w:tc>
      </w:tr>
    </w:tbl>
    <w:p>
      <w:pPr>
        <w:widowControl/>
        <w:spacing w:line="500" w:lineRule="exact"/>
        <w:ind w:firstLine="480" w:firstLineChars="200"/>
        <w:rPr>
          <w:rFonts w:ascii="宋体" w:hAnsi="宋体"/>
          <w:color w:val="auto"/>
          <w:sz w:val="24"/>
        </w:rPr>
      </w:pPr>
      <w:r>
        <w:rPr>
          <w:rFonts w:ascii="宋体" w:hAnsi="宋体"/>
          <w:color w:val="auto"/>
          <w:sz w:val="24"/>
        </w:rPr>
        <w:t>评价结果：</w:t>
      </w:r>
      <w:r>
        <w:rPr>
          <w:rFonts w:hint="eastAsia" w:ascii="宋体" w:hAnsi="宋体"/>
          <w:color w:val="auto"/>
          <w:sz w:val="24"/>
        </w:rPr>
        <w:t>《可行性研究报告》中拟设台阶高度为5m，但编制的图纸中，台阶高度为4</w:t>
      </w:r>
      <w:r>
        <w:rPr>
          <w:rFonts w:ascii="宋体" w:hAnsi="宋体"/>
          <w:color w:val="auto"/>
          <w:sz w:val="24"/>
        </w:rPr>
        <w:t>-12</w:t>
      </w:r>
      <w:r>
        <w:rPr>
          <w:rFonts w:hint="eastAsia" w:ascii="宋体" w:hAnsi="宋体"/>
          <w:color w:val="auto"/>
          <w:sz w:val="24"/>
        </w:rPr>
        <w:t>m，建议下步设计确定工作台阶参数。除台阶高度外，可行性研究报告其余选用的采场要素、开采方式符合国家相关法律、法规、标准和规范的要求。</w:t>
      </w:r>
    </w:p>
    <w:p>
      <w:pPr>
        <w:pStyle w:val="5"/>
        <w:keepLines w:val="0"/>
        <w:widowControl/>
        <w:spacing w:before="120" w:after="120" w:line="500" w:lineRule="exact"/>
        <w:rPr>
          <w:rFonts w:ascii="宋体" w:hAnsi="宋体"/>
          <w:color w:val="auto"/>
          <w:kern w:val="28"/>
          <w:sz w:val="28"/>
          <w:szCs w:val="28"/>
        </w:rPr>
      </w:pPr>
      <w:r>
        <w:rPr>
          <w:rFonts w:ascii="宋体" w:hAnsi="宋体"/>
          <w:color w:val="auto"/>
          <w:kern w:val="28"/>
          <w:sz w:val="28"/>
          <w:szCs w:val="28"/>
        </w:rPr>
        <w:t>3.4.2</w:t>
      </w:r>
      <w:r>
        <w:rPr>
          <w:rFonts w:hint="eastAsia" w:ascii="宋体" w:hAnsi="宋体"/>
          <w:color w:val="auto"/>
          <w:kern w:val="28"/>
          <w:sz w:val="28"/>
          <w:szCs w:val="28"/>
        </w:rPr>
        <w:t>剥离与矿岩开采子单元</w:t>
      </w:r>
    </w:p>
    <w:p>
      <w:pPr>
        <w:widowControl/>
        <w:spacing w:line="500" w:lineRule="exact"/>
        <w:jc w:val="center"/>
        <w:outlineLvl w:val="4"/>
        <w:rPr>
          <w:rFonts w:ascii="宋体" w:hAnsi="宋体"/>
          <w:b/>
          <w:color w:val="auto"/>
          <w:sz w:val="24"/>
        </w:rPr>
      </w:pPr>
      <w:r>
        <w:rPr>
          <w:rFonts w:hint="eastAsia" w:ascii="宋体" w:hAnsi="宋体"/>
          <w:b/>
          <w:color w:val="auto"/>
          <w:sz w:val="24"/>
        </w:rPr>
        <w:t>表</w:t>
      </w:r>
      <w:r>
        <w:rPr>
          <w:rFonts w:ascii="宋体" w:hAnsi="宋体"/>
          <w:b/>
          <w:color w:val="auto"/>
          <w:sz w:val="24"/>
        </w:rPr>
        <w:t>3</w:t>
      </w:r>
      <w:r>
        <w:rPr>
          <w:rFonts w:hint="eastAsia" w:ascii="宋体" w:hAnsi="宋体"/>
          <w:b/>
          <w:color w:val="auto"/>
          <w:sz w:val="24"/>
        </w:rPr>
        <w:t>-</w:t>
      </w:r>
      <w:r>
        <w:rPr>
          <w:rFonts w:ascii="宋体" w:hAnsi="宋体"/>
          <w:b/>
          <w:color w:val="auto"/>
          <w:sz w:val="24"/>
        </w:rPr>
        <w:t xml:space="preserve">5 </w:t>
      </w:r>
      <w:r>
        <w:rPr>
          <w:rFonts w:hint="eastAsia" w:ascii="宋体" w:hAnsi="宋体"/>
          <w:b/>
          <w:color w:val="auto"/>
          <w:sz w:val="24"/>
        </w:rPr>
        <w:t>剥离与矿岩开采子单元预先危险性分析表</w:t>
      </w:r>
    </w:p>
    <w:tbl>
      <w:tblPr>
        <w:tblStyle w:val="41"/>
        <w:tblW w:w="14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1134"/>
        <w:gridCol w:w="907"/>
        <w:gridCol w:w="4819"/>
        <w:gridCol w:w="1077"/>
        <w:gridCol w:w="868"/>
        <w:gridCol w:w="4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94" w:type="dxa"/>
            <w:vAlign w:val="center"/>
          </w:tcPr>
          <w:p>
            <w:pPr>
              <w:widowControl/>
              <w:jc w:val="center"/>
              <w:rPr>
                <w:rFonts w:ascii="宋体" w:hAnsi="宋体"/>
                <w:b/>
                <w:color w:val="auto"/>
                <w:szCs w:val="21"/>
              </w:rPr>
            </w:pPr>
            <w:r>
              <w:rPr>
                <w:rFonts w:hint="eastAsia" w:ascii="宋体" w:hAnsi="宋体"/>
                <w:b/>
                <w:color w:val="auto"/>
                <w:szCs w:val="21"/>
              </w:rPr>
              <w:t>序号</w:t>
            </w:r>
          </w:p>
        </w:tc>
        <w:tc>
          <w:tcPr>
            <w:tcW w:w="1134" w:type="dxa"/>
            <w:vAlign w:val="center"/>
          </w:tcPr>
          <w:p>
            <w:pPr>
              <w:widowControl/>
              <w:jc w:val="center"/>
              <w:rPr>
                <w:rFonts w:ascii="宋体" w:hAnsi="宋体"/>
                <w:b/>
                <w:color w:val="auto"/>
                <w:szCs w:val="21"/>
              </w:rPr>
            </w:pPr>
            <w:r>
              <w:rPr>
                <w:rFonts w:hint="eastAsia" w:ascii="宋体" w:hAnsi="宋体"/>
                <w:b/>
                <w:color w:val="auto"/>
                <w:szCs w:val="21"/>
              </w:rPr>
              <w:t>主要危险源位置</w:t>
            </w:r>
          </w:p>
        </w:tc>
        <w:tc>
          <w:tcPr>
            <w:tcW w:w="907" w:type="dxa"/>
            <w:vAlign w:val="center"/>
          </w:tcPr>
          <w:p>
            <w:pPr>
              <w:widowControl/>
              <w:jc w:val="center"/>
              <w:rPr>
                <w:rFonts w:ascii="宋体" w:hAnsi="宋体"/>
                <w:b/>
                <w:color w:val="auto"/>
                <w:szCs w:val="21"/>
              </w:rPr>
            </w:pPr>
            <w:r>
              <w:rPr>
                <w:rFonts w:hint="eastAsia" w:ascii="宋体" w:hAnsi="宋体"/>
                <w:b/>
                <w:color w:val="auto"/>
                <w:szCs w:val="21"/>
              </w:rPr>
              <w:t>潜在事故类型</w:t>
            </w:r>
          </w:p>
        </w:tc>
        <w:tc>
          <w:tcPr>
            <w:tcW w:w="4819" w:type="dxa"/>
            <w:vAlign w:val="center"/>
          </w:tcPr>
          <w:p>
            <w:pPr>
              <w:widowControl/>
              <w:jc w:val="center"/>
              <w:rPr>
                <w:rFonts w:ascii="宋体" w:hAnsi="宋体"/>
                <w:b/>
                <w:color w:val="auto"/>
                <w:szCs w:val="21"/>
              </w:rPr>
            </w:pPr>
            <w:r>
              <w:rPr>
                <w:rFonts w:hint="eastAsia" w:ascii="宋体" w:hAnsi="宋体"/>
                <w:b/>
                <w:color w:val="auto"/>
                <w:szCs w:val="21"/>
              </w:rPr>
              <w:t>触发条件</w:t>
            </w:r>
          </w:p>
        </w:tc>
        <w:tc>
          <w:tcPr>
            <w:tcW w:w="1077" w:type="dxa"/>
            <w:vAlign w:val="center"/>
          </w:tcPr>
          <w:p>
            <w:pPr>
              <w:widowControl/>
              <w:jc w:val="center"/>
              <w:rPr>
                <w:rFonts w:ascii="宋体" w:hAnsi="宋体"/>
                <w:b/>
                <w:color w:val="auto"/>
                <w:szCs w:val="21"/>
              </w:rPr>
            </w:pPr>
            <w:r>
              <w:rPr>
                <w:rFonts w:hint="eastAsia" w:ascii="宋体" w:hAnsi="宋体"/>
                <w:b/>
                <w:color w:val="auto"/>
                <w:szCs w:val="21"/>
              </w:rPr>
              <w:t>可能导致的后果</w:t>
            </w:r>
          </w:p>
        </w:tc>
        <w:tc>
          <w:tcPr>
            <w:tcW w:w="868" w:type="dxa"/>
            <w:vAlign w:val="center"/>
          </w:tcPr>
          <w:p>
            <w:pPr>
              <w:widowControl/>
              <w:jc w:val="center"/>
              <w:rPr>
                <w:rFonts w:ascii="宋体" w:hAnsi="宋体"/>
                <w:b/>
                <w:color w:val="auto"/>
                <w:szCs w:val="21"/>
              </w:rPr>
            </w:pPr>
            <w:r>
              <w:rPr>
                <w:rFonts w:hint="eastAsia" w:ascii="宋体" w:hAnsi="宋体"/>
                <w:b/>
                <w:color w:val="auto"/>
                <w:szCs w:val="21"/>
              </w:rPr>
              <w:t>危险性等级</w:t>
            </w:r>
          </w:p>
        </w:tc>
        <w:tc>
          <w:tcPr>
            <w:tcW w:w="4688" w:type="dxa"/>
            <w:vAlign w:val="center"/>
          </w:tcPr>
          <w:p>
            <w:pPr>
              <w:widowControl/>
              <w:jc w:val="center"/>
              <w:rPr>
                <w:rFonts w:ascii="宋体" w:hAnsi="宋体"/>
                <w:b/>
                <w:color w:val="auto"/>
                <w:szCs w:val="21"/>
              </w:rPr>
            </w:pPr>
            <w:r>
              <w:rPr>
                <w:rFonts w:hint="eastAsia" w:ascii="宋体" w:hAnsi="宋体"/>
                <w:b/>
                <w:color w:val="auto"/>
                <w:szCs w:val="21"/>
              </w:rPr>
              <w:t>防范措施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dxa"/>
            <w:vMerge w:val="restart"/>
            <w:vAlign w:val="center"/>
          </w:tcPr>
          <w:p>
            <w:pPr>
              <w:widowControl/>
              <w:jc w:val="center"/>
              <w:rPr>
                <w:rFonts w:ascii="宋体" w:hAnsi="宋体"/>
                <w:color w:val="auto"/>
                <w:szCs w:val="21"/>
              </w:rPr>
            </w:pPr>
            <w:r>
              <w:rPr>
                <w:rFonts w:hint="eastAsia" w:ascii="宋体" w:hAnsi="宋体"/>
                <w:color w:val="auto"/>
                <w:szCs w:val="21"/>
              </w:rPr>
              <w:t>1</w:t>
            </w:r>
          </w:p>
        </w:tc>
        <w:tc>
          <w:tcPr>
            <w:tcW w:w="1134" w:type="dxa"/>
            <w:vMerge w:val="restart"/>
            <w:vAlign w:val="center"/>
          </w:tcPr>
          <w:p>
            <w:pPr>
              <w:widowControl/>
              <w:jc w:val="center"/>
              <w:rPr>
                <w:rFonts w:ascii="宋体" w:hAnsi="宋体"/>
                <w:color w:val="auto"/>
                <w:szCs w:val="21"/>
              </w:rPr>
            </w:pPr>
            <w:r>
              <w:rPr>
                <w:rFonts w:hint="eastAsia" w:ascii="宋体" w:hAnsi="宋体"/>
                <w:color w:val="auto"/>
                <w:szCs w:val="21"/>
              </w:rPr>
              <w:t>采场边坡</w:t>
            </w:r>
          </w:p>
        </w:tc>
        <w:tc>
          <w:tcPr>
            <w:tcW w:w="907" w:type="dxa"/>
            <w:vAlign w:val="center"/>
          </w:tcPr>
          <w:p>
            <w:pPr>
              <w:widowControl/>
              <w:jc w:val="center"/>
              <w:rPr>
                <w:rFonts w:ascii="宋体" w:hAnsi="宋体"/>
                <w:color w:val="auto"/>
                <w:szCs w:val="21"/>
              </w:rPr>
            </w:pPr>
            <w:r>
              <w:rPr>
                <w:rFonts w:hint="eastAsia" w:ascii="宋体" w:hAnsi="宋体"/>
                <w:color w:val="auto"/>
                <w:szCs w:val="21"/>
              </w:rPr>
              <w:t>坍塌</w:t>
            </w:r>
          </w:p>
          <w:p>
            <w:pPr>
              <w:widowControl/>
              <w:jc w:val="center"/>
              <w:rPr>
                <w:rFonts w:ascii="宋体" w:hAnsi="宋体"/>
                <w:color w:val="auto"/>
                <w:szCs w:val="21"/>
              </w:rPr>
            </w:pPr>
            <w:r>
              <w:rPr>
                <w:rFonts w:hint="eastAsia" w:ascii="宋体" w:hAnsi="宋体"/>
                <w:color w:val="auto"/>
                <w:szCs w:val="21"/>
              </w:rPr>
              <w:t>滑坡</w:t>
            </w:r>
          </w:p>
        </w:tc>
        <w:tc>
          <w:tcPr>
            <w:tcW w:w="4819" w:type="dxa"/>
            <w:vAlign w:val="center"/>
          </w:tcPr>
          <w:p>
            <w:pPr>
              <w:widowControl/>
              <w:rPr>
                <w:rFonts w:ascii="宋体" w:hAnsi="宋体"/>
                <w:color w:val="auto"/>
                <w:szCs w:val="21"/>
              </w:rPr>
            </w:pPr>
            <w:r>
              <w:rPr>
                <w:rFonts w:hint="eastAsia" w:ascii="宋体" w:hAnsi="宋体"/>
                <w:color w:val="auto"/>
                <w:szCs w:val="21"/>
              </w:rPr>
              <w:t>（1）台阶施工时没有按设计的要素进行施工或设计参数不合理，导致开采平台过高、坡面角过陡。</w:t>
            </w:r>
          </w:p>
          <w:p>
            <w:pPr>
              <w:widowControl/>
              <w:rPr>
                <w:rFonts w:ascii="宋体" w:hAnsi="宋体"/>
                <w:color w:val="auto"/>
                <w:szCs w:val="21"/>
              </w:rPr>
            </w:pPr>
            <w:r>
              <w:rPr>
                <w:rFonts w:hint="eastAsia" w:ascii="宋体" w:hAnsi="宋体"/>
                <w:color w:val="auto"/>
                <w:szCs w:val="21"/>
              </w:rPr>
              <w:t>（2）采场及各分层平台未设置防排水设施或防排水设施排水能力不能满足排水要求。</w:t>
            </w:r>
          </w:p>
          <w:p>
            <w:pPr>
              <w:widowControl/>
              <w:rPr>
                <w:rFonts w:ascii="宋体" w:hAns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）不按设计的开采顺序开采，违章掏采、滥采乱挖。</w:t>
            </w:r>
          </w:p>
          <w:p>
            <w:pPr>
              <w:widowControl/>
              <w:rPr>
                <w:rFonts w:ascii="宋体" w:hAnsi="宋体"/>
                <w:color w:val="auto"/>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）作业设备，与台阶坡顶线安全距离不够。</w:t>
            </w:r>
          </w:p>
          <w:p>
            <w:pPr>
              <w:widowControl/>
              <w:rPr>
                <w:rFonts w:ascii="宋体" w:hAnsi="宋体"/>
                <w:color w:val="auto"/>
                <w:szCs w:val="21"/>
              </w:rPr>
            </w:pPr>
            <w:r>
              <w:rPr>
                <w:rFonts w:hint="eastAsia" w:ascii="宋体" w:hAnsi="宋体"/>
                <w:color w:val="auto"/>
                <w:szCs w:val="21"/>
              </w:rPr>
              <w:t>（</w:t>
            </w:r>
            <w:r>
              <w:rPr>
                <w:rFonts w:ascii="宋体" w:hAnsi="宋体"/>
                <w:color w:val="auto"/>
                <w:szCs w:val="21"/>
              </w:rPr>
              <w:t>5</w:t>
            </w:r>
            <w:r>
              <w:rPr>
                <w:rFonts w:hint="eastAsia" w:ascii="宋体" w:hAnsi="宋体"/>
                <w:color w:val="auto"/>
                <w:szCs w:val="21"/>
              </w:rPr>
              <w:t>）未根据岩体的地质构造情况及时对不稳固的边坡采取加固措施。</w:t>
            </w:r>
          </w:p>
          <w:p>
            <w:pPr>
              <w:widowControl/>
              <w:rPr>
                <w:rFonts w:ascii="宋体" w:hAnsi="宋体"/>
                <w:color w:val="auto"/>
                <w:szCs w:val="21"/>
              </w:rPr>
            </w:pPr>
            <w:r>
              <w:rPr>
                <w:rFonts w:hint="eastAsia" w:ascii="宋体" w:hAnsi="宋体"/>
                <w:color w:val="auto"/>
                <w:szCs w:val="21"/>
              </w:rPr>
              <w:t>（</w:t>
            </w:r>
            <w:r>
              <w:rPr>
                <w:rFonts w:ascii="宋体" w:hAnsi="宋体"/>
                <w:color w:val="auto"/>
                <w:szCs w:val="21"/>
              </w:rPr>
              <w:t>6</w:t>
            </w:r>
            <w:r>
              <w:rPr>
                <w:rFonts w:hint="eastAsia" w:ascii="宋体" w:hAnsi="宋体"/>
                <w:color w:val="auto"/>
                <w:szCs w:val="21"/>
              </w:rPr>
              <w:t>）矿区内边坡软弱面未及时处理、终了边坡台阶不连续、边坡监控与管理措施不完善、雨水冲刷边坡。</w:t>
            </w:r>
          </w:p>
        </w:tc>
        <w:tc>
          <w:tcPr>
            <w:tcW w:w="1077" w:type="dxa"/>
            <w:vAlign w:val="center"/>
          </w:tcPr>
          <w:p>
            <w:pPr>
              <w:widowControl/>
              <w:jc w:val="center"/>
              <w:rPr>
                <w:rFonts w:ascii="宋体" w:hAnsi="宋体"/>
                <w:color w:val="auto"/>
                <w:szCs w:val="21"/>
              </w:rPr>
            </w:pPr>
            <w:r>
              <w:rPr>
                <w:rFonts w:hint="eastAsia" w:ascii="宋体" w:hAnsi="宋体"/>
                <w:color w:val="auto"/>
                <w:szCs w:val="21"/>
              </w:rPr>
              <w:t>人员重大伤亡、设备严重损坏</w:t>
            </w:r>
          </w:p>
        </w:tc>
        <w:tc>
          <w:tcPr>
            <w:tcW w:w="868" w:type="dxa"/>
            <w:vAlign w:val="center"/>
          </w:tcPr>
          <w:p>
            <w:pPr>
              <w:widowControl/>
              <w:jc w:val="center"/>
              <w:rPr>
                <w:rFonts w:ascii="宋体" w:hAnsi="宋体"/>
                <w:color w:val="auto"/>
                <w:szCs w:val="21"/>
              </w:rPr>
            </w:pPr>
            <w:r>
              <w:rPr>
                <w:rFonts w:hint="eastAsia" w:ascii="宋体" w:hAnsi="宋体"/>
                <w:color w:val="auto"/>
                <w:szCs w:val="21"/>
              </w:rPr>
              <w:t>Ⅳ</w:t>
            </w:r>
          </w:p>
        </w:tc>
        <w:tc>
          <w:tcPr>
            <w:tcW w:w="4688" w:type="dxa"/>
          </w:tcPr>
          <w:p>
            <w:pPr>
              <w:widowControl/>
              <w:rPr>
                <w:rFonts w:ascii="宋体" w:hAnsi="宋体"/>
                <w:color w:val="auto"/>
                <w:szCs w:val="21"/>
              </w:rPr>
            </w:pPr>
            <w:r>
              <w:rPr>
                <w:rFonts w:hint="eastAsia" w:ascii="宋体" w:hAnsi="宋体"/>
                <w:color w:val="auto"/>
                <w:szCs w:val="21"/>
              </w:rPr>
              <w:t>（1）设计时，选择合理的台阶参数，台阶作业时按设计的要素进行施工。</w:t>
            </w:r>
          </w:p>
          <w:p>
            <w:pPr>
              <w:widowControl/>
              <w:rPr>
                <w:rFonts w:ascii="宋体" w:hAnsi="宋体"/>
                <w:color w:val="auto"/>
                <w:szCs w:val="21"/>
              </w:rPr>
            </w:pPr>
            <w:r>
              <w:rPr>
                <w:rFonts w:hint="eastAsia" w:ascii="宋体" w:hAnsi="宋体"/>
                <w:color w:val="auto"/>
                <w:szCs w:val="21"/>
              </w:rPr>
              <w:t>（2）采场应设置截水沟，各分层台阶设排水沟，截排水沟的排水能力应能满足暴雨季节的排水要求。</w:t>
            </w:r>
          </w:p>
          <w:p>
            <w:pPr>
              <w:widowControl/>
              <w:rPr>
                <w:rFonts w:ascii="宋体" w:hAns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）严格按照设计的开采顺序开采，严禁掏采、滥采乱挖。加强边坡的监督、检查、管理和维护。</w:t>
            </w:r>
          </w:p>
          <w:p>
            <w:pPr>
              <w:widowControl/>
              <w:rPr>
                <w:rFonts w:ascii="宋体" w:hAnsi="宋体"/>
                <w:color w:val="auto"/>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）作业设备应与台阶坡顶线保持安全距离，并设置安全警示标志。</w:t>
            </w:r>
          </w:p>
          <w:p>
            <w:pPr>
              <w:widowControl/>
              <w:autoSpaceDE w:val="0"/>
              <w:autoSpaceDN w:val="0"/>
              <w:adjustRightInd w:val="0"/>
              <w:rPr>
                <w:rFonts w:ascii="宋体" w:hAnsi="宋体"/>
                <w:color w:val="auto"/>
                <w:szCs w:val="21"/>
              </w:rPr>
            </w:pPr>
            <w:r>
              <w:rPr>
                <w:rFonts w:hint="eastAsia" w:ascii="宋体" w:hAnsi="宋体"/>
                <w:color w:val="auto"/>
                <w:szCs w:val="21"/>
              </w:rPr>
              <w:t>（</w:t>
            </w:r>
            <w:r>
              <w:rPr>
                <w:rFonts w:ascii="宋体" w:hAnsi="宋体"/>
                <w:color w:val="auto"/>
                <w:szCs w:val="21"/>
              </w:rPr>
              <w:t>5</w:t>
            </w:r>
            <w:r>
              <w:rPr>
                <w:rFonts w:hint="eastAsia" w:ascii="宋体" w:hAnsi="宋体"/>
                <w:color w:val="auto"/>
                <w:szCs w:val="21"/>
              </w:rPr>
              <w:t>）</w:t>
            </w:r>
            <w:r>
              <w:rPr>
                <w:rFonts w:ascii="宋体" w:hAnsi="宋体"/>
                <w:color w:val="auto"/>
                <w:szCs w:val="21"/>
              </w:rPr>
              <w:t>在开采过程中遇到</w:t>
            </w:r>
            <w:r>
              <w:rPr>
                <w:rFonts w:hint="eastAsia" w:ascii="宋体" w:hAnsi="宋体"/>
                <w:color w:val="auto"/>
                <w:szCs w:val="21"/>
              </w:rPr>
              <w:t>节理、裂隙发育</w:t>
            </w:r>
            <w:r>
              <w:rPr>
                <w:rFonts w:ascii="宋体" w:hAnsi="宋体"/>
                <w:color w:val="auto"/>
                <w:szCs w:val="21"/>
              </w:rPr>
              <w:t>的地段</w:t>
            </w:r>
            <w:r>
              <w:rPr>
                <w:rFonts w:hint="eastAsia" w:ascii="宋体" w:hAnsi="宋体"/>
                <w:color w:val="auto"/>
                <w:szCs w:val="21"/>
              </w:rPr>
              <w:t>，应及时调整台阶参数。必要时采取加固措施。</w:t>
            </w:r>
          </w:p>
          <w:p>
            <w:pPr>
              <w:widowControl/>
              <w:autoSpaceDE w:val="0"/>
              <w:autoSpaceDN w:val="0"/>
              <w:adjustRightInd w:val="0"/>
              <w:rPr>
                <w:rFonts w:ascii="宋体" w:hAnsi="宋体"/>
                <w:color w:val="auto"/>
                <w:szCs w:val="21"/>
              </w:rPr>
            </w:pPr>
            <w:r>
              <w:rPr>
                <w:rFonts w:hint="eastAsia" w:ascii="宋体" w:hAnsi="宋体"/>
                <w:color w:val="auto"/>
                <w:szCs w:val="21"/>
              </w:rPr>
              <w:t>（</w:t>
            </w:r>
            <w:r>
              <w:rPr>
                <w:rFonts w:ascii="宋体" w:hAnsi="宋体"/>
                <w:color w:val="auto"/>
                <w:szCs w:val="21"/>
              </w:rPr>
              <w:t>6</w:t>
            </w:r>
            <w:r>
              <w:rPr>
                <w:rFonts w:hint="eastAsia" w:ascii="宋体" w:hAnsi="宋体"/>
                <w:color w:val="auto"/>
                <w:szCs w:val="21"/>
              </w:rPr>
              <w:t>）加强矿区内边坡的治理、监测监控与管理措施。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dxa"/>
            <w:vMerge w:val="continue"/>
            <w:vAlign w:val="center"/>
          </w:tcPr>
          <w:p>
            <w:pPr>
              <w:widowControl/>
              <w:jc w:val="center"/>
              <w:rPr>
                <w:rFonts w:ascii="宋体" w:hAnsi="宋体"/>
                <w:color w:val="auto"/>
                <w:szCs w:val="21"/>
              </w:rPr>
            </w:pPr>
          </w:p>
        </w:tc>
        <w:tc>
          <w:tcPr>
            <w:tcW w:w="1134" w:type="dxa"/>
            <w:vMerge w:val="continue"/>
            <w:vAlign w:val="center"/>
          </w:tcPr>
          <w:p>
            <w:pPr>
              <w:widowControl/>
              <w:jc w:val="center"/>
              <w:rPr>
                <w:rFonts w:ascii="宋体" w:hAnsi="宋体"/>
                <w:color w:val="auto"/>
                <w:szCs w:val="21"/>
              </w:rPr>
            </w:pPr>
          </w:p>
        </w:tc>
        <w:tc>
          <w:tcPr>
            <w:tcW w:w="907" w:type="dxa"/>
            <w:vAlign w:val="center"/>
          </w:tcPr>
          <w:p>
            <w:pPr>
              <w:widowControl/>
              <w:jc w:val="center"/>
              <w:rPr>
                <w:rFonts w:ascii="宋体" w:hAnsi="宋体"/>
                <w:color w:val="auto"/>
                <w:szCs w:val="21"/>
              </w:rPr>
            </w:pPr>
            <w:r>
              <w:rPr>
                <w:rFonts w:hint="eastAsia" w:ascii="宋体" w:hAnsi="宋体"/>
                <w:color w:val="auto"/>
                <w:szCs w:val="21"/>
              </w:rPr>
              <w:t>高处</w:t>
            </w:r>
          </w:p>
          <w:p>
            <w:pPr>
              <w:widowControl/>
              <w:jc w:val="center"/>
              <w:rPr>
                <w:rFonts w:ascii="宋体" w:hAnsi="宋体"/>
                <w:color w:val="auto"/>
                <w:szCs w:val="21"/>
              </w:rPr>
            </w:pPr>
            <w:r>
              <w:rPr>
                <w:rFonts w:hint="eastAsia" w:ascii="宋体" w:hAnsi="宋体"/>
                <w:color w:val="auto"/>
                <w:szCs w:val="21"/>
              </w:rPr>
              <w:t>坠落</w:t>
            </w:r>
          </w:p>
        </w:tc>
        <w:tc>
          <w:tcPr>
            <w:tcW w:w="4819" w:type="dxa"/>
            <w:vAlign w:val="center"/>
          </w:tcPr>
          <w:p>
            <w:pPr>
              <w:widowControl/>
              <w:autoSpaceDE w:val="0"/>
              <w:autoSpaceDN w:val="0"/>
              <w:adjustRightInd w:val="0"/>
              <w:rPr>
                <w:rFonts w:ascii="宋体" w:hAnsi="宋体"/>
                <w:color w:val="auto"/>
                <w:szCs w:val="21"/>
              </w:rPr>
            </w:pPr>
            <w:r>
              <w:rPr>
                <w:rFonts w:hint="eastAsia" w:ascii="宋体" w:hAnsi="宋体"/>
                <w:color w:val="auto"/>
                <w:szCs w:val="21"/>
              </w:rPr>
              <w:t>（1）人员、设备过于靠近工作平台边缘；</w:t>
            </w:r>
          </w:p>
          <w:p>
            <w:pPr>
              <w:widowControl/>
              <w:autoSpaceDE w:val="0"/>
              <w:autoSpaceDN w:val="0"/>
              <w:adjustRightInd w:val="0"/>
              <w:rPr>
                <w:rFonts w:ascii="宋体" w:hAns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）台阶边缘无警示标志、防护栏；</w:t>
            </w:r>
          </w:p>
          <w:p>
            <w:pPr>
              <w:widowControl/>
              <w:autoSpaceDE w:val="0"/>
              <w:autoSpaceDN w:val="0"/>
              <w:adjustRightInd w:val="0"/>
              <w:rPr>
                <w:rFonts w:ascii="宋体" w:hAns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）设备器具在不稳固的平台上或距边坡外缘过近作业。</w:t>
            </w:r>
          </w:p>
        </w:tc>
        <w:tc>
          <w:tcPr>
            <w:tcW w:w="1077" w:type="dxa"/>
            <w:vAlign w:val="center"/>
          </w:tcPr>
          <w:p>
            <w:pPr>
              <w:widowControl/>
              <w:jc w:val="center"/>
              <w:rPr>
                <w:rFonts w:ascii="宋体" w:hAnsi="宋体"/>
                <w:color w:val="auto"/>
                <w:szCs w:val="21"/>
              </w:rPr>
            </w:pPr>
            <w:r>
              <w:rPr>
                <w:rFonts w:hint="eastAsia" w:ascii="宋体" w:hAnsi="宋体"/>
                <w:color w:val="auto"/>
                <w:szCs w:val="21"/>
              </w:rPr>
              <w:t>设备损环人员伤亡</w:t>
            </w:r>
          </w:p>
        </w:tc>
        <w:tc>
          <w:tcPr>
            <w:tcW w:w="868" w:type="dxa"/>
            <w:vAlign w:val="center"/>
          </w:tcPr>
          <w:p>
            <w:pPr>
              <w:widowControl/>
              <w:jc w:val="center"/>
              <w:rPr>
                <w:rFonts w:ascii="宋体" w:hAnsi="宋体"/>
                <w:color w:val="auto"/>
                <w:szCs w:val="21"/>
              </w:rPr>
            </w:pPr>
            <w:r>
              <w:rPr>
                <w:rFonts w:hint="eastAsia" w:ascii="宋体" w:hAnsi="宋体"/>
                <w:color w:val="auto"/>
                <w:szCs w:val="21"/>
              </w:rPr>
              <w:t>Ⅲ</w:t>
            </w:r>
          </w:p>
        </w:tc>
        <w:tc>
          <w:tcPr>
            <w:tcW w:w="4688" w:type="dxa"/>
            <w:vAlign w:val="center"/>
          </w:tcPr>
          <w:p>
            <w:pPr>
              <w:widowControl/>
              <w:autoSpaceDE w:val="0"/>
              <w:autoSpaceDN w:val="0"/>
              <w:adjustRightInd w:val="0"/>
              <w:rPr>
                <w:rFonts w:ascii="宋体" w:hAnsi="宋体"/>
                <w:color w:val="auto"/>
                <w:szCs w:val="21"/>
              </w:rPr>
            </w:pPr>
            <w:r>
              <w:rPr>
                <w:rFonts w:hint="eastAsia" w:ascii="宋体" w:hAnsi="宋体"/>
                <w:color w:val="auto"/>
                <w:szCs w:val="21"/>
              </w:rPr>
              <w:t>（1）作业时应距台阶边缘、临空面保持1m以上安全距离；</w:t>
            </w:r>
          </w:p>
          <w:p>
            <w:pPr>
              <w:widowControl/>
              <w:autoSpaceDE w:val="0"/>
              <w:autoSpaceDN w:val="0"/>
              <w:adjustRightInd w:val="0"/>
              <w:rPr>
                <w:rFonts w:ascii="宋体" w:hAns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）在明显位置设警示标志及防护栏；</w:t>
            </w:r>
          </w:p>
          <w:p>
            <w:pPr>
              <w:widowControl/>
              <w:autoSpaceDE w:val="0"/>
              <w:autoSpaceDN w:val="0"/>
              <w:adjustRightInd w:val="0"/>
              <w:rPr>
                <w:rFonts w:ascii="宋体" w:hAns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）临近矿区内台阶外缘作业时，应划定危险区域，设立警示标志，并加强检查。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dxa"/>
            <w:vMerge w:val="continue"/>
            <w:vAlign w:val="center"/>
          </w:tcPr>
          <w:p>
            <w:pPr>
              <w:widowControl/>
              <w:jc w:val="center"/>
              <w:rPr>
                <w:rFonts w:ascii="宋体" w:hAnsi="宋体"/>
                <w:color w:val="auto"/>
                <w:szCs w:val="21"/>
              </w:rPr>
            </w:pPr>
          </w:p>
        </w:tc>
        <w:tc>
          <w:tcPr>
            <w:tcW w:w="1134" w:type="dxa"/>
            <w:vMerge w:val="continue"/>
            <w:vAlign w:val="center"/>
          </w:tcPr>
          <w:p>
            <w:pPr>
              <w:widowControl/>
              <w:jc w:val="center"/>
              <w:rPr>
                <w:rFonts w:ascii="宋体" w:hAnsi="宋体"/>
                <w:color w:val="auto"/>
                <w:szCs w:val="21"/>
              </w:rPr>
            </w:pPr>
          </w:p>
        </w:tc>
        <w:tc>
          <w:tcPr>
            <w:tcW w:w="907" w:type="dxa"/>
            <w:vAlign w:val="center"/>
          </w:tcPr>
          <w:p>
            <w:pPr>
              <w:widowControl/>
              <w:jc w:val="center"/>
              <w:rPr>
                <w:rFonts w:ascii="宋体" w:hAnsi="宋体"/>
                <w:color w:val="auto"/>
                <w:szCs w:val="21"/>
              </w:rPr>
            </w:pPr>
            <w:r>
              <w:rPr>
                <w:rFonts w:hint="eastAsia" w:ascii="宋体" w:hAnsi="宋体"/>
                <w:color w:val="auto"/>
                <w:szCs w:val="21"/>
              </w:rPr>
              <w:t>物体</w:t>
            </w:r>
          </w:p>
          <w:p>
            <w:pPr>
              <w:widowControl/>
              <w:jc w:val="center"/>
              <w:rPr>
                <w:rFonts w:ascii="宋体" w:hAnsi="宋体"/>
                <w:color w:val="auto"/>
                <w:szCs w:val="21"/>
              </w:rPr>
            </w:pPr>
            <w:r>
              <w:rPr>
                <w:rFonts w:hint="eastAsia" w:ascii="宋体" w:hAnsi="宋体"/>
                <w:color w:val="auto"/>
                <w:szCs w:val="21"/>
              </w:rPr>
              <w:t>打击</w:t>
            </w:r>
          </w:p>
        </w:tc>
        <w:tc>
          <w:tcPr>
            <w:tcW w:w="4819" w:type="dxa"/>
            <w:vAlign w:val="center"/>
          </w:tcPr>
          <w:p>
            <w:pPr>
              <w:widowControl/>
              <w:autoSpaceDE w:val="0"/>
              <w:autoSpaceDN w:val="0"/>
              <w:adjustRightInd w:val="0"/>
              <w:rPr>
                <w:rFonts w:ascii="宋体" w:hAnsi="宋体"/>
                <w:color w:val="auto"/>
                <w:szCs w:val="21"/>
              </w:rPr>
            </w:pPr>
            <w:r>
              <w:rPr>
                <w:rFonts w:hint="eastAsia" w:ascii="宋体" w:hAnsi="宋体"/>
                <w:color w:val="auto"/>
                <w:szCs w:val="21"/>
              </w:rPr>
              <w:t>（1）伞檐、危石、浮石清理不及时；</w:t>
            </w:r>
          </w:p>
          <w:p>
            <w:pPr>
              <w:widowControl/>
              <w:autoSpaceDE w:val="0"/>
              <w:autoSpaceDN w:val="0"/>
              <w:adjustRightInd w:val="0"/>
              <w:rPr>
                <w:rFonts w:ascii="宋体" w:hAns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）掏采矿石；</w:t>
            </w:r>
          </w:p>
          <w:p>
            <w:pPr>
              <w:widowControl/>
              <w:autoSpaceDE w:val="0"/>
              <w:autoSpaceDN w:val="0"/>
              <w:adjustRightInd w:val="0"/>
              <w:rPr>
                <w:rFonts w:ascii="宋体" w:hAns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）上下层同时立体交叉作业；</w:t>
            </w:r>
          </w:p>
          <w:p>
            <w:pPr>
              <w:widowControl/>
              <w:autoSpaceDE w:val="0"/>
              <w:autoSpaceDN w:val="0"/>
              <w:adjustRightInd w:val="0"/>
              <w:rPr>
                <w:rFonts w:ascii="宋体" w:hAnsi="宋体"/>
                <w:color w:val="auto"/>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）临近台阶边缘防护措施不当。</w:t>
            </w:r>
          </w:p>
        </w:tc>
        <w:tc>
          <w:tcPr>
            <w:tcW w:w="1077" w:type="dxa"/>
            <w:vAlign w:val="center"/>
          </w:tcPr>
          <w:p>
            <w:pPr>
              <w:widowControl/>
              <w:jc w:val="center"/>
              <w:rPr>
                <w:rFonts w:ascii="宋体" w:hAnsi="宋体"/>
                <w:color w:val="auto"/>
                <w:szCs w:val="21"/>
              </w:rPr>
            </w:pPr>
            <w:r>
              <w:rPr>
                <w:rFonts w:hint="eastAsia" w:ascii="宋体" w:hAnsi="宋体"/>
                <w:color w:val="auto"/>
                <w:szCs w:val="21"/>
              </w:rPr>
              <w:t>设备损环人员伤亡</w:t>
            </w:r>
          </w:p>
        </w:tc>
        <w:tc>
          <w:tcPr>
            <w:tcW w:w="868" w:type="dxa"/>
            <w:vAlign w:val="center"/>
          </w:tcPr>
          <w:p>
            <w:pPr>
              <w:widowControl/>
              <w:jc w:val="center"/>
              <w:rPr>
                <w:rFonts w:ascii="宋体" w:hAnsi="宋体"/>
                <w:color w:val="auto"/>
                <w:szCs w:val="21"/>
              </w:rPr>
            </w:pPr>
            <w:r>
              <w:rPr>
                <w:rFonts w:hint="eastAsia" w:ascii="宋体" w:hAnsi="宋体"/>
                <w:color w:val="auto"/>
                <w:szCs w:val="21"/>
              </w:rPr>
              <w:t>Ⅲ</w:t>
            </w:r>
          </w:p>
        </w:tc>
        <w:tc>
          <w:tcPr>
            <w:tcW w:w="4688" w:type="dxa"/>
            <w:vAlign w:val="center"/>
          </w:tcPr>
          <w:p>
            <w:pPr>
              <w:widowControl/>
              <w:autoSpaceDE w:val="0"/>
              <w:autoSpaceDN w:val="0"/>
              <w:adjustRightInd w:val="0"/>
              <w:rPr>
                <w:rFonts w:ascii="宋体" w:hAnsi="宋体"/>
                <w:color w:val="auto"/>
                <w:szCs w:val="21"/>
              </w:rPr>
            </w:pPr>
            <w:r>
              <w:rPr>
                <w:rFonts w:hint="eastAsia" w:ascii="宋体" w:hAnsi="宋体"/>
                <w:color w:val="auto"/>
                <w:szCs w:val="21"/>
              </w:rPr>
              <w:t>（1）装载矿石前，利用挖掘机处理好边坡上的伞檐、松石和浮石；</w:t>
            </w:r>
          </w:p>
          <w:p>
            <w:pPr>
              <w:widowControl/>
              <w:autoSpaceDE w:val="0"/>
              <w:autoSpaceDN w:val="0"/>
              <w:adjustRightInd w:val="0"/>
              <w:rPr>
                <w:rFonts w:ascii="宋体" w:hAns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）严禁掏采；</w:t>
            </w:r>
          </w:p>
          <w:p>
            <w:pPr>
              <w:widowControl/>
              <w:autoSpaceDE w:val="0"/>
              <w:autoSpaceDN w:val="0"/>
              <w:adjustRightInd w:val="0"/>
              <w:rPr>
                <w:rFonts w:ascii="宋体" w:hAns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）规范作业，严禁上下层台阶垂直交叉作业，</w:t>
            </w:r>
            <w:r>
              <w:rPr>
                <w:rFonts w:ascii="宋体" w:hAnsi="宋体"/>
                <w:color w:val="auto"/>
                <w:szCs w:val="21"/>
              </w:rPr>
              <w:t>若需立体</w:t>
            </w:r>
            <w:r>
              <w:rPr>
                <w:rFonts w:hint="eastAsia" w:ascii="宋体" w:hAnsi="宋体"/>
                <w:color w:val="auto"/>
                <w:szCs w:val="21"/>
              </w:rPr>
              <w:t>作业</w:t>
            </w:r>
            <w:r>
              <w:rPr>
                <w:rFonts w:ascii="宋体" w:hAnsi="宋体"/>
                <w:color w:val="auto"/>
                <w:szCs w:val="21"/>
              </w:rPr>
              <w:t>，两设备相距必须＞</w:t>
            </w:r>
            <w:r>
              <w:rPr>
                <w:rFonts w:hint="eastAsia" w:ascii="宋体" w:hAnsi="宋体"/>
                <w:color w:val="auto"/>
                <w:szCs w:val="21"/>
              </w:rPr>
              <w:t>50</w:t>
            </w:r>
            <w:r>
              <w:rPr>
                <w:rFonts w:ascii="宋体" w:hAnsi="宋体"/>
                <w:color w:val="auto"/>
                <w:szCs w:val="21"/>
              </w:rPr>
              <w:t>m</w:t>
            </w:r>
            <w:r>
              <w:rPr>
                <w:rFonts w:hint="eastAsia" w:ascii="宋体" w:hAnsi="宋体"/>
                <w:color w:val="auto"/>
                <w:szCs w:val="21"/>
              </w:rPr>
              <w:t>；加强现场管理，清扫及处理边坡时其下方严禁有人员；</w:t>
            </w:r>
          </w:p>
          <w:p>
            <w:pPr>
              <w:widowControl/>
              <w:autoSpaceDE w:val="0"/>
              <w:autoSpaceDN w:val="0"/>
              <w:adjustRightInd w:val="0"/>
              <w:rPr>
                <w:rFonts w:ascii="宋体" w:hAnsi="宋体"/>
                <w:color w:val="auto"/>
                <w:szCs w:val="21"/>
              </w:rPr>
            </w:pPr>
            <w:r>
              <w:rPr>
                <w:rFonts w:hint="eastAsia" w:ascii="宋体" w:hAnsi="宋体"/>
                <w:color w:val="auto"/>
                <w:szCs w:val="21"/>
              </w:rPr>
              <w:t>（</w:t>
            </w:r>
            <w:r>
              <w:rPr>
                <w:rFonts w:ascii="宋体" w:hAnsi="宋体"/>
                <w:color w:val="auto"/>
                <w:szCs w:val="21"/>
              </w:rPr>
              <w:t>4</w:t>
            </w:r>
            <w:r>
              <w:rPr>
                <w:rFonts w:hint="eastAsia" w:ascii="宋体" w:hAnsi="宋体"/>
                <w:color w:val="auto"/>
                <w:szCs w:val="21"/>
              </w:rPr>
              <w:t>）临近台阶外缘作业时，应划定危险区域，设立警示标志。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dxa"/>
            <w:vAlign w:val="center"/>
          </w:tcPr>
          <w:p>
            <w:pPr>
              <w:widowControl/>
              <w:tabs>
                <w:tab w:val="left" w:pos="1260"/>
                <w:tab w:val="left" w:leader="middleDot" w:pos="7560"/>
              </w:tabs>
              <w:jc w:val="center"/>
              <w:rPr>
                <w:rFonts w:ascii="宋体" w:hAnsi="宋体"/>
                <w:color w:val="auto"/>
                <w:szCs w:val="21"/>
              </w:rPr>
            </w:pPr>
            <w:r>
              <w:rPr>
                <w:rFonts w:ascii="宋体" w:hAnsi="宋体"/>
                <w:color w:val="auto"/>
                <w:szCs w:val="21"/>
              </w:rPr>
              <w:t>2</w:t>
            </w:r>
          </w:p>
        </w:tc>
        <w:tc>
          <w:tcPr>
            <w:tcW w:w="1134" w:type="dxa"/>
            <w:vAlign w:val="center"/>
          </w:tcPr>
          <w:p>
            <w:pPr>
              <w:widowControl/>
              <w:tabs>
                <w:tab w:val="left" w:pos="1260"/>
                <w:tab w:val="left" w:leader="middleDot" w:pos="7560"/>
              </w:tabs>
              <w:jc w:val="center"/>
              <w:rPr>
                <w:rFonts w:ascii="宋体" w:hAnsi="宋体"/>
                <w:color w:val="auto"/>
                <w:szCs w:val="21"/>
              </w:rPr>
            </w:pPr>
            <w:r>
              <w:rPr>
                <w:rFonts w:hint="eastAsia" w:ascii="宋体" w:hAnsi="宋体"/>
                <w:color w:val="auto"/>
                <w:szCs w:val="21"/>
              </w:rPr>
              <w:t>采场、运输道路</w:t>
            </w:r>
          </w:p>
        </w:tc>
        <w:tc>
          <w:tcPr>
            <w:tcW w:w="907" w:type="dxa"/>
            <w:vAlign w:val="center"/>
          </w:tcPr>
          <w:p>
            <w:pPr>
              <w:widowControl/>
              <w:tabs>
                <w:tab w:val="left" w:pos="1260"/>
                <w:tab w:val="left" w:leader="middleDot" w:pos="7560"/>
              </w:tabs>
              <w:jc w:val="center"/>
              <w:rPr>
                <w:rFonts w:ascii="宋体" w:hAnsi="宋体"/>
                <w:color w:val="auto"/>
                <w:szCs w:val="21"/>
              </w:rPr>
            </w:pPr>
            <w:r>
              <w:rPr>
                <w:rFonts w:ascii="宋体" w:hAnsi="宋体"/>
                <w:color w:val="auto"/>
                <w:szCs w:val="21"/>
              </w:rPr>
              <w:t>车辆</w:t>
            </w:r>
          </w:p>
          <w:p>
            <w:pPr>
              <w:widowControl/>
              <w:tabs>
                <w:tab w:val="left" w:pos="1260"/>
                <w:tab w:val="left" w:leader="middleDot" w:pos="7560"/>
              </w:tabs>
              <w:jc w:val="center"/>
              <w:rPr>
                <w:rFonts w:ascii="宋体" w:hAnsi="宋体"/>
                <w:color w:val="auto"/>
                <w:szCs w:val="21"/>
              </w:rPr>
            </w:pPr>
            <w:r>
              <w:rPr>
                <w:rFonts w:ascii="宋体" w:hAnsi="宋体"/>
                <w:color w:val="auto"/>
                <w:szCs w:val="21"/>
              </w:rPr>
              <w:t>伤害</w:t>
            </w:r>
          </w:p>
        </w:tc>
        <w:tc>
          <w:tcPr>
            <w:tcW w:w="4819" w:type="dxa"/>
            <w:vAlign w:val="center"/>
          </w:tcPr>
          <w:p>
            <w:pPr>
              <w:widowControl/>
              <w:tabs>
                <w:tab w:val="left" w:pos="1260"/>
                <w:tab w:val="left" w:leader="middleDot" w:pos="7560"/>
              </w:tabs>
              <w:jc w:val="left"/>
              <w:rPr>
                <w:rFonts w:ascii="宋体" w:hAnsi="宋体"/>
                <w:color w:val="auto"/>
                <w:szCs w:val="21"/>
              </w:rPr>
            </w:pPr>
            <w:r>
              <w:rPr>
                <w:rFonts w:hint="eastAsia" w:ascii="宋体" w:hAnsi="宋体"/>
                <w:color w:val="auto"/>
                <w:szCs w:val="21"/>
              </w:rPr>
              <w:t>1）</w:t>
            </w:r>
            <w:r>
              <w:rPr>
                <w:rFonts w:ascii="宋体" w:hAnsi="宋体"/>
                <w:color w:val="auto"/>
                <w:szCs w:val="21"/>
              </w:rPr>
              <w:t>操作人员误操作，现场无专人指挥</w:t>
            </w:r>
            <w:r>
              <w:rPr>
                <w:rFonts w:hint="eastAsia" w:ascii="宋体" w:hAnsi="宋体"/>
                <w:color w:val="auto"/>
                <w:szCs w:val="21"/>
              </w:rPr>
              <w:t>。</w:t>
            </w:r>
          </w:p>
          <w:p>
            <w:pPr>
              <w:widowControl/>
              <w:tabs>
                <w:tab w:val="left" w:pos="1260"/>
                <w:tab w:val="left" w:leader="middleDot" w:pos="7560"/>
              </w:tabs>
              <w:jc w:val="left"/>
              <w:rPr>
                <w:rFonts w:ascii="宋体" w:hAnsi="宋体"/>
                <w:color w:val="auto"/>
                <w:szCs w:val="21"/>
              </w:rPr>
            </w:pPr>
            <w:r>
              <w:rPr>
                <w:rFonts w:hint="eastAsia" w:ascii="宋体" w:hAnsi="宋体"/>
                <w:color w:val="auto"/>
                <w:szCs w:val="21"/>
              </w:rPr>
              <w:t>2）</w:t>
            </w:r>
            <w:r>
              <w:rPr>
                <w:rFonts w:ascii="宋体" w:hAnsi="宋体"/>
                <w:color w:val="auto"/>
                <w:szCs w:val="21"/>
              </w:rPr>
              <w:t>车辆及场内工作人员在挖掘机旋转半径范围内行走</w:t>
            </w:r>
            <w:r>
              <w:rPr>
                <w:rFonts w:hint="eastAsia" w:ascii="宋体" w:hAnsi="宋体"/>
                <w:color w:val="auto"/>
                <w:szCs w:val="21"/>
              </w:rPr>
              <w:t>。</w:t>
            </w:r>
          </w:p>
          <w:p>
            <w:pPr>
              <w:widowControl/>
              <w:tabs>
                <w:tab w:val="left" w:pos="1260"/>
                <w:tab w:val="left" w:leader="middleDot" w:pos="7560"/>
              </w:tabs>
              <w:jc w:val="left"/>
              <w:rPr>
                <w:rFonts w:ascii="宋体" w:hAnsi="宋体"/>
                <w:color w:val="auto"/>
                <w:szCs w:val="21"/>
              </w:rPr>
            </w:pPr>
            <w:r>
              <w:rPr>
                <w:rFonts w:hint="eastAsia" w:ascii="宋体" w:hAnsi="宋体"/>
                <w:color w:val="auto"/>
                <w:szCs w:val="21"/>
              </w:rPr>
              <w:t>3）</w:t>
            </w:r>
            <w:r>
              <w:rPr>
                <w:rFonts w:ascii="宋体" w:hAnsi="宋体"/>
                <w:color w:val="auto"/>
                <w:szCs w:val="21"/>
              </w:rPr>
              <w:t>危险地段</w:t>
            </w:r>
            <w:r>
              <w:rPr>
                <w:rFonts w:hint="eastAsia" w:ascii="宋体" w:hAnsi="宋体"/>
                <w:color w:val="auto"/>
                <w:szCs w:val="21"/>
              </w:rPr>
              <w:t>无</w:t>
            </w:r>
            <w:r>
              <w:rPr>
                <w:rFonts w:ascii="宋体" w:hAnsi="宋体"/>
                <w:color w:val="auto"/>
                <w:szCs w:val="21"/>
              </w:rPr>
              <w:t>安全标志，路肩无安全垛，车况不好</w:t>
            </w:r>
            <w:r>
              <w:rPr>
                <w:rFonts w:hint="eastAsia" w:ascii="宋体" w:hAnsi="宋体"/>
                <w:color w:val="auto"/>
                <w:szCs w:val="21"/>
              </w:rPr>
              <w:t>，车辆带病上路，</w:t>
            </w:r>
            <w:r>
              <w:rPr>
                <w:rFonts w:ascii="宋体" w:hAnsi="宋体"/>
                <w:color w:val="auto"/>
                <w:szCs w:val="21"/>
              </w:rPr>
              <w:t>车速过快</w:t>
            </w:r>
            <w:r>
              <w:rPr>
                <w:rFonts w:hint="eastAsia" w:ascii="宋体" w:hAnsi="宋体"/>
                <w:color w:val="auto"/>
                <w:szCs w:val="21"/>
              </w:rPr>
              <w:t>。</w:t>
            </w:r>
          </w:p>
          <w:p>
            <w:pPr>
              <w:widowControl/>
              <w:tabs>
                <w:tab w:val="left" w:pos="1260"/>
                <w:tab w:val="left" w:leader="middleDot" w:pos="7560"/>
              </w:tabs>
              <w:jc w:val="left"/>
              <w:rPr>
                <w:rFonts w:ascii="宋体" w:hAnsi="宋体"/>
                <w:color w:val="auto"/>
                <w:szCs w:val="21"/>
              </w:rPr>
            </w:pPr>
            <w:r>
              <w:rPr>
                <w:rFonts w:hint="eastAsia" w:ascii="宋体" w:hAnsi="宋体"/>
                <w:color w:val="auto"/>
                <w:szCs w:val="21"/>
              </w:rPr>
              <w:t>4）</w:t>
            </w:r>
            <w:r>
              <w:rPr>
                <w:rFonts w:ascii="宋体" w:hAnsi="宋体"/>
                <w:color w:val="auto"/>
                <w:szCs w:val="21"/>
              </w:rPr>
              <w:t>驾驶员无证上岗、违章操作、酒后</w:t>
            </w:r>
            <w:r>
              <w:rPr>
                <w:rFonts w:hint="eastAsia" w:ascii="宋体" w:hAnsi="宋体"/>
                <w:color w:val="auto"/>
                <w:szCs w:val="21"/>
              </w:rPr>
              <w:t>或带病</w:t>
            </w:r>
            <w:r>
              <w:rPr>
                <w:rFonts w:ascii="宋体" w:hAnsi="宋体"/>
                <w:color w:val="auto"/>
                <w:szCs w:val="21"/>
              </w:rPr>
              <w:t>上班</w:t>
            </w:r>
            <w:r>
              <w:rPr>
                <w:rFonts w:hint="eastAsia" w:ascii="宋体" w:hAnsi="宋体"/>
                <w:color w:val="auto"/>
                <w:szCs w:val="21"/>
              </w:rPr>
              <w:t>。</w:t>
            </w:r>
          </w:p>
          <w:p>
            <w:pPr>
              <w:widowControl/>
              <w:tabs>
                <w:tab w:val="left" w:pos="1260"/>
                <w:tab w:val="left" w:leader="middleDot" w:pos="7560"/>
              </w:tabs>
              <w:jc w:val="left"/>
              <w:rPr>
                <w:rFonts w:ascii="宋体" w:hAnsi="宋体"/>
                <w:color w:val="auto"/>
                <w:szCs w:val="21"/>
              </w:rPr>
            </w:pPr>
            <w:r>
              <w:rPr>
                <w:rFonts w:ascii="宋体" w:hAnsi="宋体"/>
                <w:color w:val="auto"/>
                <w:szCs w:val="21"/>
              </w:rPr>
              <w:t>5</w:t>
            </w:r>
            <w:r>
              <w:rPr>
                <w:rFonts w:hint="eastAsia" w:ascii="宋体" w:hAnsi="宋体"/>
                <w:color w:val="auto"/>
                <w:szCs w:val="21"/>
              </w:rPr>
              <w:t>）</w:t>
            </w:r>
            <w:r>
              <w:rPr>
                <w:rFonts w:ascii="宋体" w:hAnsi="宋体"/>
                <w:color w:val="auto"/>
                <w:szCs w:val="21"/>
              </w:rPr>
              <w:t>在坡陡、弯急、路基松软道路未采取必要的防滑、防沉陷加固等措施。</w:t>
            </w:r>
          </w:p>
        </w:tc>
        <w:tc>
          <w:tcPr>
            <w:tcW w:w="1077" w:type="dxa"/>
            <w:vAlign w:val="center"/>
          </w:tcPr>
          <w:p>
            <w:pPr>
              <w:widowControl/>
              <w:tabs>
                <w:tab w:val="left" w:pos="1260"/>
                <w:tab w:val="left" w:leader="middleDot" w:pos="7560"/>
              </w:tabs>
              <w:jc w:val="center"/>
              <w:rPr>
                <w:rFonts w:ascii="宋体" w:hAnsi="宋体"/>
                <w:color w:val="auto"/>
                <w:szCs w:val="21"/>
              </w:rPr>
            </w:pPr>
            <w:r>
              <w:rPr>
                <w:rFonts w:hint="eastAsia" w:ascii="宋体" w:hAnsi="宋体"/>
                <w:color w:val="auto"/>
                <w:szCs w:val="21"/>
              </w:rPr>
              <w:t>车辆损毁</w:t>
            </w:r>
          </w:p>
        </w:tc>
        <w:tc>
          <w:tcPr>
            <w:tcW w:w="868" w:type="dxa"/>
            <w:vAlign w:val="center"/>
          </w:tcPr>
          <w:p>
            <w:pPr>
              <w:widowControl/>
              <w:tabs>
                <w:tab w:val="left" w:pos="1260"/>
                <w:tab w:val="left" w:leader="middleDot" w:pos="7560"/>
              </w:tabs>
              <w:jc w:val="center"/>
              <w:rPr>
                <w:rFonts w:ascii="宋体" w:hAnsi="宋体"/>
                <w:color w:val="auto"/>
                <w:szCs w:val="21"/>
              </w:rPr>
            </w:pPr>
            <w:r>
              <w:rPr>
                <w:rFonts w:ascii="宋体" w:hAnsi="宋体"/>
                <w:color w:val="auto"/>
                <w:szCs w:val="21"/>
              </w:rPr>
              <w:t>Ⅲ</w:t>
            </w:r>
          </w:p>
        </w:tc>
        <w:tc>
          <w:tcPr>
            <w:tcW w:w="4688" w:type="dxa"/>
            <w:vAlign w:val="center"/>
          </w:tcPr>
          <w:p>
            <w:pPr>
              <w:widowControl/>
              <w:tabs>
                <w:tab w:val="left" w:pos="1260"/>
                <w:tab w:val="left" w:leader="middleDot" w:pos="7560"/>
              </w:tabs>
              <w:jc w:val="left"/>
              <w:rPr>
                <w:rFonts w:ascii="宋体" w:hAnsi="宋体"/>
                <w:color w:val="auto"/>
                <w:szCs w:val="21"/>
              </w:rPr>
            </w:pPr>
            <w:r>
              <w:rPr>
                <w:rFonts w:ascii="宋体" w:hAnsi="宋体"/>
                <w:color w:val="auto"/>
                <w:szCs w:val="21"/>
              </w:rPr>
              <w:t>1</w:t>
            </w:r>
            <w:r>
              <w:rPr>
                <w:rFonts w:hint="eastAsia" w:ascii="宋体" w:hAnsi="宋体"/>
                <w:color w:val="auto"/>
                <w:szCs w:val="21"/>
              </w:rPr>
              <w:t>）</w:t>
            </w:r>
            <w:r>
              <w:rPr>
                <w:rFonts w:ascii="宋体" w:hAnsi="宋体"/>
                <w:color w:val="auto"/>
                <w:szCs w:val="21"/>
              </w:rPr>
              <w:t>加强作业人员培训教育，现场</w:t>
            </w:r>
            <w:r>
              <w:rPr>
                <w:rFonts w:hint="eastAsia" w:ascii="宋体" w:hAnsi="宋体"/>
                <w:color w:val="auto"/>
                <w:szCs w:val="21"/>
              </w:rPr>
              <w:t>设</w:t>
            </w:r>
            <w:r>
              <w:rPr>
                <w:rFonts w:ascii="宋体" w:hAnsi="宋体"/>
                <w:color w:val="auto"/>
                <w:szCs w:val="21"/>
              </w:rPr>
              <w:t>专人指挥。</w:t>
            </w:r>
          </w:p>
          <w:p>
            <w:pPr>
              <w:widowControl/>
              <w:tabs>
                <w:tab w:val="left" w:pos="1260"/>
                <w:tab w:val="left" w:leader="middleDot" w:pos="7560"/>
              </w:tabs>
              <w:jc w:val="left"/>
              <w:rPr>
                <w:rFonts w:ascii="宋体" w:hAnsi="宋体"/>
                <w:color w:val="auto"/>
                <w:szCs w:val="21"/>
              </w:rPr>
            </w:pPr>
            <w:r>
              <w:rPr>
                <w:rFonts w:ascii="宋体" w:hAnsi="宋体"/>
                <w:color w:val="auto"/>
                <w:szCs w:val="21"/>
              </w:rPr>
              <w:t>2</w:t>
            </w:r>
            <w:r>
              <w:rPr>
                <w:rFonts w:hint="eastAsia" w:ascii="宋体" w:hAnsi="宋体"/>
                <w:color w:val="auto"/>
                <w:szCs w:val="21"/>
              </w:rPr>
              <w:t>）</w:t>
            </w:r>
            <w:r>
              <w:rPr>
                <w:rFonts w:ascii="宋体" w:hAnsi="宋体"/>
                <w:color w:val="auto"/>
                <w:szCs w:val="21"/>
              </w:rPr>
              <w:t>加强管理；明确</w:t>
            </w:r>
            <w:r>
              <w:rPr>
                <w:rFonts w:hint="eastAsia" w:ascii="宋体" w:hAnsi="宋体"/>
                <w:color w:val="auto"/>
                <w:szCs w:val="21"/>
              </w:rPr>
              <w:t>作业</w:t>
            </w:r>
            <w:r>
              <w:rPr>
                <w:rFonts w:ascii="宋体" w:hAnsi="宋体"/>
                <w:color w:val="auto"/>
                <w:szCs w:val="21"/>
              </w:rPr>
              <w:t>信号</w:t>
            </w:r>
            <w:r>
              <w:rPr>
                <w:rFonts w:hint="eastAsia" w:ascii="宋体" w:hAnsi="宋体"/>
                <w:color w:val="auto"/>
                <w:szCs w:val="21"/>
              </w:rPr>
              <w:t>。</w:t>
            </w:r>
          </w:p>
          <w:p>
            <w:pPr>
              <w:widowControl/>
              <w:tabs>
                <w:tab w:val="left" w:pos="1260"/>
                <w:tab w:val="left" w:leader="middleDot" w:pos="7560"/>
              </w:tabs>
              <w:jc w:val="left"/>
              <w:rPr>
                <w:rFonts w:ascii="宋体" w:hAnsi="宋体"/>
                <w:color w:val="auto"/>
                <w:szCs w:val="21"/>
              </w:rPr>
            </w:pPr>
            <w:r>
              <w:rPr>
                <w:rFonts w:ascii="宋体" w:hAnsi="宋体"/>
                <w:color w:val="auto"/>
                <w:szCs w:val="21"/>
              </w:rPr>
              <w:t>3</w:t>
            </w:r>
            <w:r>
              <w:rPr>
                <w:rFonts w:hint="eastAsia" w:ascii="宋体" w:hAnsi="宋体"/>
                <w:color w:val="auto"/>
                <w:szCs w:val="21"/>
              </w:rPr>
              <w:t>）边坡外侧设安全垛和安全警示标志。保持车辆完好。</w:t>
            </w:r>
          </w:p>
          <w:p>
            <w:pPr>
              <w:widowControl/>
              <w:tabs>
                <w:tab w:val="left" w:pos="1260"/>
                <w:tab w:val="left" w:leader="middleDot" w:pos="7560"/>
              </w:tabs>
              <w:jc w:val="left"/>
              <w:rPr>
                <w:rFonts w:ascii="宋体" w:hAnsi="宋体"/>
                <w:color w:val="auto"/>
                <w:szCs w:val="21"/>
              </w:rPr>
            </w:pPr>
            <w:r>
              <w:rPr>
                <w:rFonts w:hint="eastAsia" w:ascii="宋体" w:hAnsi="宋体"/>
                <w:color w:val="auto"/>
                <w:szCs w:val="21"/>
              </w:rPr>
              <w:t>4）驾驶员持证上岗，且保持精力充沛，不开疲劳车；严禁酒后或带病开车。</w:t>
            </w:r>
          </w:p>
          <w:p>
            <w:pPr>
              <w:widowControl/>
              <w:tabs>
                <w:tab w:val="left" w:pos="1260"/>
                <w:tab w:val="left" w:leader="middleDot" w:pos="7560"/>
              </w:tabs>
              <w:jc w:val="left"/>
              <w:rPr>
                <w:rFonts w:ascii="宋体" w:hAnsi="宋体"/>
                <w:color w:val="auto"/>
                <w:szCs w:val="21"/>
              </w:rPr>
            </w:pPr>
            <w:r>
              <w:rPr>
                <w:rFonts w:hint="eastAsia" w:ascii="宋体" w:hAnsi="宋体"/>
                <w:color w:val="auto"/>
                <w:szCs w:val="21"/>
              </w:rPr>
              <w:t>5）危险地段设置限速等安全交通警示标志。</w:t>
            </w:r>
          </w:p>
        </w:tc>
      </w:tr>
    </w:tbl>
    <w:p>
      <w:pPr>
        <w:widowControl/>
        <w:spacing w:line="500" w:lineRule="exact"/>
        <w:ind w:firstLine="480" w:firstLineChars="200"/>
        <w:rPr>
          <w:rFonts w:ascii="宋体" w:hAnsi="宋体"/>
          <w:color w:val="auto"/>
          <w:sz w:val="24"/>
        </w:rPr>
      </w:pPr>
      <w:r>
        <w:rPr>
          <w:rFonts w:hint="eastAsia" w:ascii="宋体" w:hAnsi="宋体"/>
          <w:color w:val="auto"/>
          <w:sz w:val="24"/>
        </w:rPr>
        <w:t>评价结果：存在的危险有害因素为坍塌滑坡、高处坠落、物体打击、车辆伤害，主要防治的为坍塌滑坡。</w:t>
      </w:r>
    </w:p>
    <w:p>
      <w:pPr>
        <w:pStyle w:val="4"/>
        <w:keepLines w:val="0"/>
        <w:widowControl/>
        <w:spacing w:before="120" w:after="120" w:line="500" w:lineRule="exact"/>
        <w:rPr>
          <w:rFonts w:ascii="宋体" w:hAnsi="宋体" w:eastAsia="宋体"/>
          <w:b/>
          <w:bCs w:val="0"/>
          <w:color w:val="auto"/>
          <w:kern w:val="28"/>
          <w:sz w:val="28"/>
          <w:szCs w:val="28"/>
        </w:rPr>
      </w:pPr>
      <w:bookmarkStart w:id="189" w:name="_Toc21511325"/>
      <w:bookmarkStart w:id="190" w:name="_Toc150262779"/>
      <w:r>
        <w:rPr>
          <w:rFonts w:ascii="宋体" w:hAnsi="宋体" w:eastAsia="宋体"/>
          <w:b/>
          <w:bCs w:val="0"/>
          <w:color w:val="auto"/>
          <w:kern w:val="28"/>
          <w:sz w:val="28"/>
          <w:szCs w:val="28"/>
        </w:rPr>
        <w:t>3.5通风系统单元</w:t>
      </w:r>
      <w:bookmarkEnd w:id="189"/>
      <w:bookmarkEnd w:id="190"/>
    </w:p>
    <w:p>
      <w:pPr>
        <w:widowControl/>
        <w:spacing w:line="500" w:lineRule="exact"/>
        <w:ind w:firstLine="480" w:firstLineChars="200"/>
        <w:rPr>
          <w:rFonts w:ascii="宋体" w:hAnsi="宋体"/>
          <w:color w:val="auto"/>
          <w:sz w:val="24"/>
        </w:rPr>
      </w:pPr>
      <w:r>
        <w:rPr>
          <w:rFonts w:hint="eastAsia" w:ascii="宋体" w:hAnsi="宋体"/>
          <w:color w:val="auto"/>
          <w:sz w:val="24"/>
        </w:rPr>
        <w:t>该矿山为露天山坡开采，矿山开采作业所产生的粉尘均可自行消散，因此不设置通风系统。</w:t>
      </w:r>
    </w:p>
    <w:p>
      <w:pPr>
        <w:widowControl/>
        <w:spacing w:line="500" w:lineRule="exact"/>
        <w:ind w:firstLine="480" w:firstLineChars="200"/>
        <w:rPr>
          <w:rFonts w:ascii="宋体" w:hAnsi="宋体"/>
          <w:color w:val="auto"/>
          <w:sz w:val="24"/>
        </w:rPr>
      </w:pPr>
      <w:r>
        <w:rPr>
          <w:rFonts w:hint="eastAsia" w:ascii="宋体" w:hAnsi="宋体"/>
          <w:color w:val="auto"/>
          <w:sz w:val="24"/>
        </w:rPr>
        <w:t>可行性研究报告中拟采用洒水车进行道路降尘，建议下步设计明确洒水车规格型号、数量等内容。</w:t>
      </w:r>
    </w:p>
    <w:p>
      <w:pPr>
        <w:pStyle w:val="4"/>
        <w:keepLines w:val="0"/>
        <w:widowControl/>
        <w:spacing w:before="120" w:after="120" w:line="500" w:lineRule="exact"/>
        <w:rPr>
          <w:rFonts w:ascii="宋体" w:hAnsi="宋体" w:eastAsia="宋体"/>
          <w:b/>
          <w:bCs w:val="0"/>
          <w:color w:val="auto"/>
          <w:kern w:val="28"/>
          <w:sz w:val="28"/>
          <w:szCs w:val="28"/>
        </w:rPr>
      </w:pPr>
      <w:bookmarkStart w:id="191" w:name="_Toc21511326"/>
      <w:bookmarkStart w:id="192" w:name="_Toc150262780"/>
      <w:r>
        <w:rPr>
          <w:rFonts w:hint="eastAsia" w:ascii="宋体" w:hAnsi="宋体" w:eastAsia="宋体"/>
          <w:b/>
          <w:bCs w:val="0"/>
          <w:color w:val="auto"/>
          <w:kern w:val="28"/>
          <w:sz w:val="28"/>
          <w:szCs w:val="28"/>
        </w:rPr>
        <w:t>3.</w:t>
      </w:r>
      <w:r>
        <w:rPr>
          <w:rFonts w:ascii="宋体" w:hAnsi="宋体" w:eastAsia="宋体"/>
          <w:b/>
          <w:bCs w:val="0"/>
          <w:color w:val="auto"/>
          <w:kern w:val="28"/>
          <w:sz w:val="28"/>
          <w:szCs w:val="28"/>
        </w:rPr>
        <w:t>6</w:t>
      </w:r>
      <w:r>
        <w:rPr>
          <w:rFonts w:hint="eastAsia" w:ascii="宋体" w:hAnsi="宋体" w:eastAsia="宋体"/>
          <w:b/>
          <w:bCs w:val="0"/>
          <w:color w:val="auto"/>
          <w:kern w:val="28"/>
          <w:sz w:val="28"/>
          <w:szCs w:val="28"/>
        </w:rPr>
        <w:t>矿山供配电设施单元评价</w:t>
      </w:r>
      <w:bookmarkEnd w:id="191"/>
      <w:bookmarkEnd w:id="192"/>
    </w:p>
    <w:p>
      <w:pPr>
        <w:pStyle w:val="5"/>
        <w:keepLines w:val="0"/>
        <w:widowControl/>
        <w:spacing w:before="120" w:after="120" w:line="500" w:lineRule="exact"/>
        <w:rPr>
          <w:rFonts w:ascii="宋体" w:hAnsi="宋体"/>
          <w:color w:val="auto"/>
          <w:kern w:val="28"/>
          <w:sz w:val="28"/>
          <w:szCs w:val="28"/>
        </w:rPr>
      </w:pPr>
      <w:r>
        <w:rPr>
          <w:rFonts w:hint="eastAsia" w:ascii="宋体" w:hAnsi="宋体"/>
          <w:color w:val="auto"/>
          <w:kern w:val="28"/>
          <w:sz w:val="28"/>
          <w:szCs w:val="28"/>
        </w:rPr>
        <w:t>3.</w:t>
      </w:r>
      <w:r>
        <w:rPr>
          <w:rFonts w:ascii="宋体" w:hAnsi="宋体"/>
          <w:color w:val="auto"/>
          <w:kern w:val="28"/>
          <w:sz w:val="28"/>
          <w:szCs w:val="28"/>
        </w:rPr>
        <w:t>6</w:t>
      </w:r>
      <w:r>
        <w:rPr>
          <w:rFonts w:hint="eastAsia" w:ascii="宋体" w:hAnsi="宋体"/>
          <w:color w:val="auto"/>
          <w:kern w:val="28"/>
          <w:sz w:val="28"/>
          <w:szCs w:val="28"/>
        </w:rPr>
        <w:t>.1供电电源可靠性</w:t>
      </w:r>
    </w:p>
    <w:p>
      <w:pPr>
        <w:widowControl/>
        <w:spacing w:line="500" w:lineRule="exact"/>
        <w:ind w:firstLine="480" w:firstLineChars="200"/>
        <w:rPr>
          <w:rFonts w:ascii="宋体" w:hAnsi="宋体"/>
          <w:color w:val="auto"/>
          <w:sz w:val="24"/>
        </w:rPr>
      </w:pPr>
      <w:r>
        <w:rPr>
          <w:rFonts w:hint="eastAsia" w:ascii="宋体" w:hAnsi="宋体"/>
          <w:color w:val="auto"/>
          <w:sz w:val="24"/>
        </w:rPr>
        <w:t>矿山露天采场生产设备全部为柴油动力设备，无需电力。矿山办公生活区、机修房等辅助设施用电接用当地低压供电线路，当地低压供电线路可</w:t>
      </w:r>
      <w:r>
        <w:rPr>
          <w:rFonts w:ascii="宋体" w:hAnsi="宋体"/>
          <w:color w:val="auto"/>
          <w:sz w:val="24"/>
        </w:rPr>
        <w:t>满足使用</w:t>
      </w:r>
      <w:r>
        <w:rPr>
          <w:rFonts w:hint="eastAsia" w:ascii="宋体" w:hAnsi="宋体"/>
          <w:color w:val="auto"/>
          <w:sz w:val="24"/>
        </w:rPr>
        <w:t>要求。</w:t>
      </w:r>
    </w:p>
    <w:p>
      <w:pPr>
        <w:pStyle w:val="5"/>
        <w:keepLines w:val="0"/>
        <w:widowControl/>
        <w:spacing w:before="120" w:after="120" w:line="500" w:lineRule="exact"/>
        <w:rPr>
          <w:rFonts w:ascii="宋体" w:hAnsi="宋体"/>
          <w:color w:val="auto"/>
          <w:kern w:val="28"/>
          <w:sz w:val="28"/>
          <w:szCs w:val="28"/>
        </w:rPr>
      </w:pPr>
      <w:r>
        <w:rPr>
          <w:rFonts w:hint="eastAsia" w:ascii="宋体" w:hAnsi="宋体"/>
          <w:color w:val="auto"/>
          <w:kern w:val="28"/>
          <w:sz w:val="28"/>
          <w:szCs w:val="28"/>
        </w:rPr>
        <w:t>3.</w:t>
      </w:r>
      <w:r>
        <w:rPr>
          <w:rFonts w:ascii="宋体" w:hAnsi="宋体"/>
          <w:color w:val="auto"/>
          <w:kern w:val="28"/>
          <w:sz w:val="28"/>
          <w:szCs w:val="28"/>
        </w:rPr>
        <w:t>6</w:t>
      </w:r>
      <w:r>
        <w:rPr>
          <w:rFonts w:hint="eastAsia" w:ascii="宋体" w:hAnsi="宋体"/>
          <w:color w:val="auto"/>
          <w:kern w:val="28"/>
          <w:sz w:val="28"/>
          <w:szCs w:val="28"/>
        </w:rPr>
        <w:t>.2电气单元预先危险性分析</w:t>
      </w:r>
    </w:p>
    <w:p>
      <w:pPr>
        <w:rPr>
          <w:rFonts w:hint="eastAsia" w:ascii="宋体" w:hAnsi="宋体"/>
          <w:b/>
          <w:color w:val="auto"/>
          <w:sz w:val="24"/>
        </w:rPr>
      </w:pPr>
      <w:r>
        <w:rPr>
          <w:rFonts w:hint="eastAsia" w:ascii="宋体" w:hAnsi="宋体"/>
          <w:b/>
          <w:color w:val="auto"/>
          <w:sz w:val="24"/>
        </w:rPr>
        <w:br w:type="page"/>
      </w:r>
    </w:p>
    <w:p>
      <w:pPr>
        <w:widowControl/>
        <w:spacing w:line="500" w:lineRule="exact"/>
        <w:jc w:val="center"/>
        <w:outlineLvl w:val="4"/>
        <w:rPr>
          <w:rFonts w:ascii="宋体" w:hAnsi="宋体"/>
          <w:b/>
          <w:color w:val="auto"/>
          <w:sz w:val="24"/>
        </w:rPr>
      </w:pPr>
      <w:r>
        <w:rPr>
          <w:rFonts w:hint="eastAsia" w:ascii="宋体" w:hAnsi="宋体"/>
          <w:b/>
          <w:color w:val="auto"/>
          <w:sz w:val="24"/>
        </w:rPr>
        <w:t>表</w:t>
      </w:r>
      <w:r>
        <w:rPr>
          <w:rFonts w:ascii="宋体" w:hAnsi="宋体"/>
          <w:b/>
          <w:color w:val="auto"/>
          <w:sz w:val="24"/>
        </w:rPr>
        <w:t>3</w:t>
      </w:r>
      <w:r>
        <w:rPr>
          <w:rFonts w:hint="eastAsia" w:ascii="宋体" w:hAnsi="宋体"/>
          <w:b/>
          <w:color w:val="auto"/>
          <w:sz w:val="24"/>
        </w:rPr>
        <w:t>-</w:t>
      </w:r>
      <w:r>
        <w:rPr>
          <w:rFonts w:ascii="宋体" w:hAnsi="宋体"/>
          <w:b/>
          <w:color w:val="auto"/>
          <w:sz w:val="24"/>
        </w:rPr>
        <w:t xml:space="preserve">6 </w:t>
      </w:r>
      <w:r>
        <w:rPr>
          <w:rFonts w:hint="eastAsia" w:ascii="宋体" w:hAnsi="宋体"/>
          <w:b/>
          <w:color w:val="auto"/>
          <w:sz w:val="24"/>
        </w:rPr>
        <w:t>矿山电气预先危险性分析表</w:t>
      </w:r>
    </w:p>
    <w:tbl>
      <w:tblPr>
        <w:tblStyle w:val="41"/>
        <w:tblW w:w="14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1134"/>
        <w:gridCol w:w="907"/>
        <w:gridCol w:w="4533"/>
        <w:gridCol w:w="1087"/>
        <w:gridCol w:w="882"/>
        <w:gridCol w:w="4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9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b/>
                <w:color w:val="auto"/>
                <w:szCs w:val="21"/>
              </w:rPr>
            </w:pPr>
            <w:r>
              <w:rPr>
                <w:rFonts w:hint="eastAsia" w:ascii="宋体" w:hAnsi="宋体"/>
                <w:b/>
                <w:color w:val="auto"/>
                <w:szCs w:val="21"/>
              </w:rPr>
              <w:t>序号</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b/>
                <w:color w:val="auto"/>
                <w:szCs w:val="21"/>
              </w:rPr>
            </w:pPr>
            <w:r>
              <w:rPr>
                <w:rFonts w:hint="eastAsia" w:ascii="宋体" w:hAnsi="宋体"/>
                <w:b/>
                <w:color w:val="auto"/>
                <w:szCs w:val="21"/>
              </w:rPr>
              <w:t>主要危险源位置</w:t>
            </w:r>
          </w:p>
        </w:tc>
        <w:tc>
          <w:tcPr>
            <w:tcW w:w="907"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b/>
                <w:color w:val="auto"/>
                <w:szCs w:val="21"/>
              </w:rPr>
            </w:pPr>
            <w:r>
              <w:rPr>
                <w:rFonts w:hint="eastAsia" w:ascii="宋体" w:hAnsi="宋体"/>
                <w:b/>
                <w:color w:val="auto"/>
                <w:szCs w:val="21"/>
              </w:rPr>
              <w:t>潜在事故类型</w:t>
            </w:r>
          </w:p>
        </w:tc>
        <w:tc>
          <w:tcPr>
            <w:tcW w:w="4533"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b/>
                <w:color w:val="auto"/>
                <w:szCs w:val="21"/>
              </w:rPr>
            </w:pPr>
            <w:r>
              <w:rPr>
                <w:rFonts w:hint="eastAsia" w:ascii="宋体" w:hAnsi="宋体"/>
                <w:b/>
                <w:color w:val="auto"/>
                <w:szCs w:val="21"/>
              </w:rPr>
              <w:t>触发条件</w:t>
            </w:r>
          </w:p>
        </w:tc>
        <w:tc>
          <w:tcPr>
            <w:tcW w:w="1087"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b/>
                <w:color w:val="auto"/>
                <w:szCs w:val="21"/>
              </w:rPr>
            </w:pPr>
            <w:r>
              <w:rPr>
                <w:rFonts w:hint="eastAsia" w:ascii="宋体" w:hAnsi="宋体"/>
                <w:b/>
                <w:color w:val="auto"/>
                <w:szCs w:val="21"/>
              </w:rPr>
              <w:t>可能导致的后果</w:t>
            </w:r>
          </w:p>
        </w:tc>
        <w:tc>
          <w:tcPr>
            <w:tcW w:w="88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b/>
                <w:color w:val="auto"/>
                <w:szCs w:val="21"/>
              </w:rPr>
            </w:pPr>
            <w:r>
              <w:rPr>
                <w:rFonts w:hint="eastAsia" w:ascii="宋体" w:hAnsi="宋体"/>
                <w:b/>
                <w:color w:val="auto"/>
                <w:szCs w:val="21"/>
              </w:rPr>
              <w:t>危险性等级</w:t>
            </w:r>
          </w:p>
        </w:tc>
        <w:tc>
          <w:tcPr>
            <w:tcW w:w="4950"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b/>
                <w:color w:val="auto"/>
                <w:szCs w:val="21"/>
              </w:rPr>
            </w:pPr>
            <w:r>
              <w:rPr>
                <w:rFonts w:hint="eastAsia" w:ascii="宋体" w:hAnsi="宋体"/>
                <w:b/>
                <w:color w:val="auto"/>
                <w:szCs w:val="21"/>
              </w:rPr>
              <w:t>防范措施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olor w:val="auto"/>
                <w:szCs w:val="21"/>
              </w:rPr>
            </w:pPr>
            <w:r>
              <w:rPr>
                <w:rFonts w:hint="eastAsia" w:ascii="宋体" w:hAnsi="宋体"/>
                <w:color w:val="auto"/>
                <w:szCs w:val="21"/>
              </w:rPr>
              <w:t>1</w:t>
            </w:r>
          </w:p>
        </w:tc>
        <w:tc>
          <w:tcPr>
            <w:tcW w:w="1134"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olor w:val="auto"/>
                <w:szCs w:val="21"/>
              </w:rPr>
            </w:pPr>
            <w:r>
              <w:rPr>
                <w:rFonts w:hint="eastAsia" w:ascii="宋体" w:hAnsi="宋体"/>
                <w:color w:val="auto"/>
                <w:szCs w:val="21"/>
              </w:rPr>
              <w:t>电气线路</w:t>
            </w:r>
          </w:p>
        </w:tc>
        <w:tc>
          <w:tcPr>
            <w:tcW w:w="907"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olor w:val="auto"/>
                <w:szCs w:val="21"/>
              </w:rPr>
            </w:pPr>
            <w:r>
              <w:rPr>
                <w:rFonts w:hint="eastAsia" w:ascii="宋体" w:hAnsi="宋体"/>
                <w:color w:val="auto"/>
                <w:szCs w:val="21"/>
              </w:rPr>
              <w:t>触电</w:t>
            </w:r>
          </w:p>
        </w:tc>
        <w:tc>
          <w:tcPr>
            <w:tcW w:w="4533" w:type="dxa"/>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olor w:val="auto"/>
                <w:szCs w:val="21"/>
              </w:rPr>
            </w:pPr>
            <w:r>
              <w:rPr>
                <w:rFonts w:hint="eastAsia" w:ascii="宋体" w:hAnsi="宋体"/>
                <w:color w:val="auto"/>
                <w:szCs w:val="21"/>
              </w:rPr>
              <w:t>（1）电气作业人员无证上岗，上岗未穿戴和使用防护用品、用具进行操作。</w:t>
            </w: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olor w:val="auto"/>
                <w:szCs w:val="21"/>
              </w:rPr>
            </w:pPr>
            <w:r>
              <w:rPr>
                <w:rFonts w:hint="eastAsia" w:ascii="宋体" w:hAnsi="宋体"/>
                <w:color w:val="auto"/>
                <w:szCs w:val="21"/>
              </w:rPr>
              <w:t>（2）矿山人员随意维修电气线路。</w:t>
            </w: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olor w:val="auto"/>
                <w:szCs w:val="21"/>
              </w:rPr>
            </w:pPr>
            <w:r>
              <w:rPr>
                <w:rFonts w:hint="eastAsia" w:ascii="宋体" w:hAnsi="宋体"/>
                <w:color w:val="auto"/>
                <w:szCs w:val="21"/>
              </w:rPr>
              <w:t>（3）供电线路的停电和送电，未执行工作票制度。</w:t>
            </w: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olor w:val="auto"/>
                <w:szCs w:val="21"/>
              </w:rPr>
            </w:pPr>
            <w:r>
              <w:rPr>
                <w:rFonts w:hint="eastAsia" w:ascii="宋体" w:hAnsi="宋体"/>
                <w:color w:val="auto"/>
                <w:szCs w:val="21"/>
              </w:rPr>
              <w:t>（4）在电源线路上断电作业时，该线路的电源开关把手未加锁或设专人看护，未悬挂“有人作业，不准送电”的警示牌。</w:t>
            </w: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olor w:val="auto"/>
                <w:szCs w:val="21"/>
              </w:rPr>
            </w:pPr>
            <w:r>
              <w:rPr>
                <w:rFonts w:hint="eastAsia" w:ascii="宋体" w:hAnsi="宋体"/>
                <w:color w:val="auto"/>
                <w:szCs w:val="21"/>
              </w:rPr>
              <w:t>（5）在未采取验电和挂接地线等安全措施情况下在停电线路上工作。</w:t>
            </w: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olor w:val="auto"/>
                <w:szCs w:val="21"/>
              </w:rPr>
            </w:pPr>
            <w:r>
              <w:rPr>
                <w:rFonts w:hint="eastAsia" w:ascii="宋体" w:hAnsi="宋体"/>
                <w:color w:val="auto"/>
                <w:szCs w:val="21"/>
              </w:rPr>
              <w:t>（6）线路跳闸后，强行送电。</w:t>
            </w: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olor w:val="auto"/>
                <w:szCs w:val="21"/>
              </w:rPr>
            </w:pPr>
            <w:r>
              <w:rPr>
                <w:rFonts w:hint="eastAsia" w:ascii="宋体" w:hAnsi="宋体"/>
                <w:color w:val="auto"/>
                <w:szCs w:val="21"/>
              </w:rPr>
              <w:t>（7）线路意外破损，人员及设备误碰。</w:t>
            </w:r>
          </w:p>
        </w:tc>
        <w:tc>
          <w:tcPr>
            <w:tcW w:w="1087"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olor w:val="auto"/>
                <w:szCs w:val="21"/>
              </w:rPr>
            </w:pPr>
            <w:r>
              <w:rPr>
                <w:rFonts w:hint="eastAsia" w:ascii="宋体" w:hAnsi="宋体"/>
                <w:color w:val="auto"/>
                <w:szCs w:val="21"/>
              </w:rPr>
              <w:t>设备损环人员伤亡</w:t>
            </w:r>
          </w:p>
        </w:tc>
        <w:tc>
          <w:tcPr>
            <w:tcW w:w="88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olor w:val="auto"/>
                <w:szCs w:val="21"/>
              </w:rPr>
            </w:pPr>
            <w:r>
              <w:rPr>
                <w:rFonts w:hint="eastAsia" w:ascii="宋体" w:hAnsi="宋体"/>
                <w:color w:val="auto"/>
                <w:szCs w:val="21"/>
              </w:rPr>
              <w:t>Ⅲ</w:t>
            </w:r>
          </w:p>
        </w:tc>
        <w:tc>
          <w:tcPr>
            <w:tcW w:w="4950" w:type="dxa"/>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olor w:val="auto"/>
                <w:szCs w:val="21"/>
              </w:rPr>
            </w:pPr>
            <w:r>
              <w:rPr>
                <w:rFonts w:hint="eastAsia" w:ascii="宋体" w:hAnsi="宋体"/>
                <w:color w:val="auto"/>
                <w:szCs w:val="21"/>
              </w:rPr>
              <w:t>（1）电气作业人员应按规定考核合格方准上岗，上岗应穿戴和使用防护用品、用具进行操作。</w:t>
            </w: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olor w:val="auto"/>
                <w:szCs w:val="21"/>
              </w:rPr>
            </w:pPr>
            <w:r>
              <w:rPr>
                <w:rFonts w:hint="eastAsia" w:ascii="宋体" w:hAnsi="宋体"/>
                <w:color w:val="auto"/>
                <w:szCs w:val="21"/>
              </w:rPr>
              <w:t>（2）电气线路维修应由电气作业人员进行，其他人员严禁电气线路维修。</w:t>
            </w: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olor w:val="auto"/>
                <w:szCs w:val="21"/>
              </w:rPr>
            </w:pPr>
            <w:r>
              <w:rPr>
                <w:rFonts w:hint="eastAsia" w:ascii="宋体" w:hAnsi="宋体"/>
                <w:color w:val="auto"/>
                <w:szCs w:val="21"/>
              </w:rPr>
              <w:t>（3）供电线路的停电和送电，应执行工作票制度。</w:t>
            </w: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olor w:val="auto"/>
                <w:szCs w:val="21"/>
              </w:rPr>
            </w:pPr>
            <w:r>
              <w:rPr>
                <w:rFonts w:hint="eastAsia" w:ascii="宋体" w:hAnsi="宋体"/>
                <w:color w:val="auto"/>
                <w:szCs w:val="21"/>
              </w:rPr>
              <w:t>（4）在电源线路上断电作业时，该线路的电源开关把手，应加锁或设专人看护，并悬挂“有人作业，不准送电”的警示牌。</w:t>
            </w: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olor w:val="auto"/>
                <w:szCs w:val="21"/>
              </w:rPr>
            </w:pPr>
            <w:r>
              <w:rPr>
                <w:rFonts w:hint="eastAsia" w:ascii="宋体" w:hAnsi="宋体"/>
                <w:color w:val="auto"/>
                <w:szCs w:val="21"/>
              </w:rPr>
              <w:t>（5）在停电线路上工作时，应采取验电和挂接地线等安全措施。</w:t>
            </w: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olor w:val="auto"/>
                <w:szCs w:val="21"/>
              </w:rPr>
            </w:pPr>
            <w:r>
              <w:rPr>
                <w:rFonts w:hint="eastAsia" w:ascii="宋体" w:hAnsi="宋体"/>
                <w:color w:val="auto"/>
                <w:szCs w:val="21"/>
              </w:rPr>
              <w:t>（6）线路跳闸后，不应强行送电，应立即报告由电气作业人员查明原因，排除故障后，方可送电。</w:t>
            </w: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olor w:val="auto"/>
                <w:szCs w:val="21"/>
              </w:rPr>
            </w:pPr>
            <w:r>
              <w:rPr>
                <w:rFonts w:hint="eastAsia" w:ascii="宋体" w:hAnsi="宋体"/>
                <w:color w:val="auto"/>
                <w:spacing w:val="-11"/>
                <w:sz w:val="21"/>
                <w:szCs w:val="21"/>
              </w:rPr>
              <w:t>（7）定期对输电线路进行检查，发现损坏后及时修复。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olor w:val="auto"/>
                <w:szCs w:val="21"/>
              </w:rPr>
            </w:pPr>
          </w:p>
        </w:tc>
        <w:tc>
          <w:tcPr>
            <w:tcW w:w="1134"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olor w:val="auto"/>
                <w:szCs w:val="21"/>
              </w:rPr>
            </w:pPr>
          </w:p>
        </w:tc>
        <w:tc>
          <w:tcPr>
            <w:tcW w:w="907"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olor w:val="auto"/>
                <w:szCs w:val="21"/>
              </w:rPr>
            </w:pPr>
            <w:r>
              <w:rPr>
                <w:rFonts w:hint="eastAsia" w:ascii="宋体" w:hAnsi="宋体"/>
                <w:color w:val="auto"/>
                <w:szCs w:val="21"/>
              </w:rPr>
              <w:t>火灾</w:t>
            </w:r>
          </w:p>
        </w:tc>
        <w:tc>
          <w:tcPr>
            <w:tcW w:w="4533" w:type="dxa"/>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olor w:val="auto"/>
                <w:szCs w:val="21"/>
              </w:rPr>
            </w:pPr>
            <w:r>
              <w:rPr>
                <w:rFonts w:hint="eastAsia" w:ascii="宋体" w:hAnsi="宋体"/>
                <w:color w:val="auto"/>
                <w:szCs w:val="21"/>
              </w:rPr>
              <w:t>（1）在带电的导线附近，存在易燃易爆物品。</w:t>
            </w: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olor w:val="auto"/>
                <w:szCs w:val="21"/>
              </w:rPr>
            </w:pPr>
            <w:r>
              <w:rPr>
                <w:rFonts w:hint="eastAsia" w:ascii="宋体" w:hAnsi="宋体"/>
                <w:color w:val="auto"/>
                <w:szCs w:val="21"/>
              </w:rPr>
              <w:t>（2）供电线路凌乱，绝缘老化导致短路，引起火灾。</w:t>
            </w:r>
          </w:p>
        </w:tc>
        <w:tc>
          <w:tcPr>
            <w:tcW w:w="1087"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olor w:val="auto"/>
                <w:szCs w:val="21"/>
              </w:rPr>
            </w:pPr>
            <w:r>
              <w:rPr>
                <w:rFonts w:hint="eastAsia" w:ascii="宋体" w:hAnsi="宋体"/>
                <w:color w:val="auto"/>
                <w:szCs w:val="21"/>
              </w:rPr>
              <w:t>设备损环人员伤亡</w:t>
            </w:r>
          </w:p>
        </w:tc>
        <w:tc>
          <w:tcPr>
            <w:tcW w:w="88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olor w:val="auto"/>
                <w:szCs w:val="21"/>
              </w:rPr>
            </w:pPr>
            <w:r>
              <w:rPr>
                <w:rFonts w:hint="eastAsia" w:ascii="宋体" w:hAnsi="宋体"/>
                <w:color w:val="auto"/>
                <w:szCs w:val="21"/>
              </w:rPr>
              <w:t>Ⅲ</w:t>
            </w:r>
          </w:p>
        </w:tc>
        <w:tc>
          <w:tcPr>
            <w:tcW w:w="4950" w:type="dxa"/>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olor w:val="auto"/>
                <w:szCs w:val="21"/>
              </w:rPr>
            </w:pPr>
            <w:r>
              <w:rPr>
                <w:rFonts w:hint="eastAsia" w:ascii="宋体" w:hAnsi="宋体"/>
                <w:color w:val="auto"/>
                <w:szCs w:val="21"/>
              </w:rPr>
              <w:t>（1）在带电的导线附近，严禁存放易燃易爆物品，附近茅草应清除。</w:t>
            </w: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olor w:val="auto"/>
                <w:szCs w:val="21"/>
              </w:rPr>
            </w:pPr>
            <w:r>
              <w:rPr>
                <w:rFonts w:hint="eastAsia" w:ascii="宋体" w:hAnsi="宋体"/>
                <w:color w:val="auto"/>
                <w:szCs w:val="21"/>
              </w:rPr>
              <w:t>（2）电气线路布置有序，及时更换绝缘老化线路。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olor w:val="auto"/>
                <w:szCs w:val="21"/>
              </w:rPr>
            </w:pPr>
            <w:r>
              <w:rPr>
                <w:rFonts w:hint="eastAsia" w:ascii="宋体" w:hAnsi="宋体"/>
                <w:color w:val="auto"/>
                <w:szCs w:val="21"/>
              </w:rPr>
              <w:t>2</w:t>
            </w:r>
          </w:p>
        </w:tc>
        <w:tc>
          <w:tcPr>
            <w:tcW w:w="1134" w:type="dxa"/>
            <w:vMerge w:val="restart"/>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olor w:val="auto"/>
                <w:szCs w:val="21"/>
              </w:rPr>
            </w:pPr>
            <w:r>
              <w:rPr>
                <w:rFonts w:hint="eastAsia" w:ascii="宋体" w:hAnsi="宋体"/>
                <w:color w:val="auto"/>
                <w:szCs w:val="21"/>
              </w:rPr>
              <w:t>用电设备</w:t>
            </w:r>
          </w:p>
        </w:tc>
        <w:tc>
          <w:tcPr>
            <w:tcW w:w="907"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olor w:val="auto"/>
                <w:szCs w:val="21"/>
              </w:rPr>
            </w:pPr>
            <w:r>
              <w:rPr>
                <w:rFonts w:hint="eastAsia" w:ascii="宋体" w:hAnsi="宋体"/>
                <w:color w:val="auto"/>
                <w:szCs w:val="21"/>
              </w:rPr>
              <w:t>触电（雷击）</w:t>
            </w:r>
          </w:p>
        </w:tc>
        <w:tc>
          <w:tcPr>
            <w:tcW w:w="4533" w:type="dxa"/>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olor w:val="auto"/>
                <w:szCs w:val="21"/>
              </w:rPr>
            </w:pPr>
            <w:r>
              <w:rPr>
                <w:rFonts w:hint="eastAsia" w:ascii="宋体" w:hAnsi="宋体"/>
                <w:color w:val="auto"/>
                <w:szCs w:val="21"/>
              </w:rPr>
              <w:t>（1）电气设备可能被人触及的裸露带电部分未设置保护罩或遮栏及警示标志。</w:t>
            </w: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olor w:val="auto"/>
                <w:szCs w:val="21"/>
              </w:rPr>
            </w:pPr>
            <w:r>
              <w:rPr>
                <w:rFonts w:hint="eastAsia" w:ascii="宋体" w:hAnsi="宋体"/>
                <w:color w:val="auto"/>
                <w:szCs w:val="21"/>
              </w:rPr>
              <w:t>（2）电气设备、设施无漏电保护装置；没有接地（零）装置或保护装置失效。</w:t>
            </w: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olor w:val="auto"/>
                <w:szCs w:val="21"/>
              </w:rPr>
            </w:pPr>
            <w:r>
              <w:rPr>
                <w:rFonts w:hint="eastAsia" w:ascii="宋体" w:hAnsi="宋体"/>
                <w:color w:val="auto"/>
                <w:spacing w:val="-6"/>
                <w:sz w:val="21"/>
                <w:szCs w:val="21"/>
              </w:rPr>
              <w:t>（3）电气设备和装置的金属框架或外壳、电缆和金属包皮、互感器的二次绕组，未设置保护接地。</w:t>
            </w: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olor w:val="auto"/>
                <w:szCs w:val="21"/>
              </w:rPr>
            </w:pPr>
            <w:r>
              <w:rPr>
                <w:rFonts w:hint="eastAsia" w:ascii="宋体" w:hAnsi="宋体"/>
                <w:color w:val="auto"/>
                <w:szCs w:val="21"/>
              </w:rPr>
              <w:t>（4）设备的控制开关、闸刀开关未按要求设置安全警示标志。</w:t>
            </w: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olor w:val="auto"/>
                <w:szCs w:val="21"/>
              </w:rPr>
            </w:pPr>
            <w:r>
              <w:rPr>
                <w:rFonts w:hint="eastAsia" w:ascii="宋体" w:hAnsi="宋体"/>
                <w:color w:val="auto"/>
                <w:szCs w:val="21"/>
              </w:rPr>
              <w:t>（5）作业人员违规操作。</w:t>
            </w: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olor w:val="auto"/>
                <w:szCs w:val="21"/>
              </w:rPr>
            </w:pPr>
            <w:r>
              <w:rPr>
                <w:rFonts w:hint="eastAsia" w:ascii="宋体" w:hAnsi="宋体"/>
                <w:color w:val="auto"/>
                <w:szCs w:val="21"/>
              </w:rPr>
              <w:t>（6）矿山未安装避雷设施。</w:t>
            </w: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olor w:val="auto"/>
                <w:szCs w:val="21"/>
              </w:rPr>
            </w:pPr>
            <w:r>
              <w:rPr>
                <w:rFonts w:hint="eastAsia" w:ascii="宋体" w:hAnsi="宋体"/>
                <w:color w:val="auto"/>
                <w:szCs w:val="21"/>
              </w:rPr>
              <w:t>（7）电气设备未定期检查，存在漏电现象。</w:t>
            </w:r>
          </w:p>
        </w:tc>
        <w:tc>
          <w:tcPr>
            <w:tcW w:w="1087"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olor w:val="auto"/>
                <w:szCs w:val="21"/>
              </w:rPr>
            </w:pPr>
            <w:r>
              <w:rPr>
                <w:rFonts w:hint="eastAsia" w:ascii="宋体" w:hAnsi="宋体"/>
                <w:color w:val="auto"/>
                <w:szCs w:val="21"/>
              </w:rPr>
              <w:t>设备损环人员伤亡</w:t>
            </w:r>
          </w:p>
        </w:tc>
        <w:tc>
          <w:tcPr>
            <w:tcW w:w="88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olor w:val="auto"/>
                <w:szCs w:val="21"/>
              </w:rPr>
            </w:pPr>
            <w:r>
              <w:rPr>
                <w:rFonts w:hint="eastAsia" w:ascii="宋体" w:hAnsi="宋体"/>
                <w:color w:val="auto"/>
                <w:szCs w:val="21"/>
              </w:rPr>
              <w:t>Ⅲ</w:t>
            </w:r>
          </w:p>
        </w:tc>
        <w:tc>
          <w:tcPr>
            <w:tcW w:w="4950" w:type="dxa"/>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olor w:val="auto"/>
                <w:szCs w:val="21"/>
              </w:rPr>
            </w:pPr>
            <w:r>
              <w:rPr>
                <w:rFonts w:hint="eastAsia" w:ascii="宋体" w:hAnsi="宋体"/>
                <w:color w:val="auto"/>
                <w:szCs w:val="21"/>
              </w:rPr>
              <w:t>（1）电气设备可能被人触及的裸露带电部分，应设置保护罩或遮栏及警示标志</w:t>
            </w: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olor w:val="auto"/>
                <w:szCs w:val="21"/>
              </w:rPr>
            </w:pPr>
            <w:r>
              <w:rPr>
                <w:rFonts w:hint="eastAsia" w:ascii="宋体" w:hAnsi="宋体"/>
                <w:color w:val="auto"/>
                <w:szCs w:val="21"/>
              </w:rPr>
              <w:t>（2）电气设备、设施应设置漏电保护装置，接地（零）装置或保护装置。</w:t>
            </w: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olor w:val="auto"/>
                <w:szCs w:val="21"/>
              </w:rPr>
            </w:pPr>
            <w:r>
              <w:rPr>
                <w:rFonts w:hint="eastAsia" w:ascii="宋体" w:hAnsi="宋体"/>
                <w:color w:val="auto"/>
                <w:szCs w:val="21"/>
              </w:rPr>
              <w:t>（3）电气设备和装置的金属框架或外壳、电缆和金属包皮、互感器的二次绕组，应按有关规定进行保护接地。</w:t>
            </w: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olor w:val="auto"/>
                <w:szCs w:val="21"/>
              </w:rPr>
            </w:pPr>
            <w:r>
              <w:rPr>
                <w:rFonts w:hint="eastAsia" w:ascii="宋体" w:hAnsi="宋体"/>
                <w:color w:val="auto"/>
                <w:szCs w:val="21"/>
              </w:rPr>
              <w:t>（4）严格按规定进行断电作业；悬挂警示标志。</w:t>
            </w: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olor w:val="auto"/>
                <w:szCs w:val="21"/>
              </w:rPr>
            </w:pPr>
            <w:r>
              <w:rPr>
                <w:rFonts w:hint="eastAsia" w:ascii="宋体" w:hAnsi="宋体"/>
                <w:color w:val="auto"/>
                <w:szCs w:val="21"/>
              </w:rPr>
              <w:t>（5）加强</w:t>
            </w:r>
            <w:r>
              <w:rPr>
                <w:rFonts w:ascii="宋体" w:hAnsi="宋体"/>
                <w:color w:val="auto"/>
                <w:szCs w:val="21"/>
              </w:rPr>
              <w:t>作业人员教育，杜绝违规操作</w:t>
            </w:r>
            <w:r>
              <w:rPr>
                <w:rFonts w:hint="eastAsia" w:ascii="宋体" w:hAnsi="宋体"/>
                <w:color w:val="auto"/>
                <w:szCs w:val="21"/>
              </w:rPr>
              <w:t>。</w:t>
            </w: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olor w:val="auto"/>
                <w:szCs w:val="21"/>
              </w:rPr>
            </w:pPr>
            <w:r>
              <w:rPr>
                <w:rFonts w:hint="eastAsia" w:ascii="宋体" w:hAnsi="宋体"/>
                <w:color w:val="auto"/>
                <w:szCs w:val="21"/>
              </w:rPr>
              <w:t>（6）矿山应安装避雷设施。</w:t>
            </w: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olor w:val="auto"/>
                <w:szCs w:val="21"/>
              </w:rPr>
            </w:pPr>
            <w:r>
              <w:rPr>
                <w:rFonts w:hint="eastAsia" w:ascii="宋体" w:hAnsi="宋体"/>
                <w:color w:val="auto"/>
                <w:szCs w:val="21"/>
              </w:rPr>
              <w:t>（7）电气设备定期检查，确保设备正常运转。</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olor w:val="auto"/>
                <w:szCs w:val="21"/>
              </w:rPr>
            </w:pPr>
          </w:p>
        </w:tc>
        <w:tc>
          <w:tcPr>
            <w:tcW w:w="1134" w:type="dxa"/>
            <w:vMerge w:val="continue"/>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olor w:val="auto"/>
                <w:szCs w:val="21"/>
              </w:rPr>
            </w:pPr>
          </w:p>
        </w:tc>
        <w:tc>
          <w:tcPr>
            <w:tcW w:w="907"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olor w:val="auto"/>
                <w:szCs w:val="21"/>
              </w:rPr>
            </w:pPr>
            <w:r>
              <w:rPr>
                <w:rFonts w:hint="eastAsia" w:ascii="宋体" w:hAnsi="宋体"/>
                <w:color w:val="auto"/>
                <w:szCs w:val="21"/>
              </w:rPr>
              <w:t>火灾</w:t>
            </w:r>
          </w:p>
        </w:tc>
        <w:tc>
          <w:tcPr>
            <w:tcW w:w="4533" w:type="dxa"/>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olor w:val="auto"/>
                <w:szCs w:val="21"/>
              </w:rPr>
            </w:pPr>
            <w:r>
              <w:rPr>
                <w:rFonts w:hint="eastAsia" w:ascii="宋体" w:hAnsi="宋体"/>
                <w:color w:val="auto"/>
                <w:szCs w:val="21"/>
              </w:rPr>
              <w:t>（1）用电设备长时或带病运行，导致设备外壳过热。</w:t>
            </w: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olor w:val="auto"/>
                <w:szCs w:val="21"/>
              </w:rPr>
            </w:pPr>
            <w:r>
              <w:rPr>
                <w:rFonts w:hint="eastAsia" w:ascii="宋体" w:hAnsi="宋体"/>
                <w:color w:val="auto"/>
                <w:szCs w:val="21"/>
              </w:rPr>
              <w:t>（2）用电设备周边存有易燃易爆物品。</w:t>
            </w:r>
          </w:p>
        </w:tc>
        <w:tc>
          <w:tcPr>
            <w:tcW w:w="1087"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olor w:val="auto"/>
                <w:szCs w:val="21"/>
              </w:rPr>
            </w:pPr>
            <w:r>
              <w:rPr>
                <w:rFonts w:hint="eastAsia" w:ascii="宋体" w:hAnsi="宋体"/>
                <w:color w:val="auto"/>
                <w:szCs w:val="21"/>
              </w:rPr>
              <w:t>设备损环人员伤亡</w:t>
            </w:r>
          </w:p>
        </w:tc>
        <w:tc>
          <w:tcPr>
            <w:tcW w:w="882" w:type="dxa"/>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auto"/>
              <w:rPr>
                <w:rFonts w:ascii="宋体" w:hAnsi="宋体"/>
                <w:color w:val="auto"/>
                <w:szCs w:val="21"/>
              </w:rPr>
            </w:pPr>
            <w:r>
              <w:rPr>
                <w:rFonts w:hint="eastAsia" w:ascii="宋体" w:hAnsi="宋体"/>
                <w:color w:val="auto"/>
                <w:szCs w:val="21"/>
              </w:rPr>
              <w:t>Ⅲ</w:t>
            </w:r>
          </w:p>
        </w:tc>
        <w:tc>
          <w:tcPr>
            <w:tcW w:w="4950" w:type="dxa"/>
            <w:vAlign w:val="center"/>
          </w:tcPr>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olor w:val="auto"/>
                <w:szCs w:val="21"/>
              </w:rPr>
            </w:pPr>
            <w:r>
              <w:rPr>
                <w:rFonts w:hint="eastAsia" w:ascii="宋体" w:hAnsi="宋体"/>
                <w:color w:val="auto"/>
                <w:szCs w:val="21"/>
              </w:rPr>
              <w:t>（1）定期对用电设备进行检修，长时运转时应检查外壳温度。配备过流保护装置。</w:t>
            </w:r>
          </w:p>
          <w:p>
            <w:pPr>
              <w:keepNext w:val="0"/>
              <w:keepLines w:val="0"/>
              <w:pageBreakBefore w:val="0"/>
              <w:widowControl/>
              <w:kinsoku/>
              <w:wordWrap/>
              <w:overflowPunct/>
              <w:topLinePunct w:val="0"/>
              <w:autoSpaceDE/>
              <w:autoSpaceDN/>
              <w:bidi w:val="0"/>
              <w:adjustRightInd/>
              <w:snapToGrid/>
              <w:spacing w:line="240" w:lineRule="exact"/>
              <w:textAlignment w:val="auto"/>
              <w:rPr>
                <w:rFonts w:ascii="宋体" w:hAnsi="宋体"/>
                <w:color w:val="auto"/>
                <w:szCs w:val="21"/>
              </w:rPr>
            </w:pPr>
            <w:r>
              <w:rPr>
                <w:rFonts w:hint="eastAsia" w:ascii="宋体" w:hAnsi="宋体"/>
                <w:color w:val="auto"/>
                <w:szCs w:val="21"/>
              </w:rPr>
              <w:t>（2）用电设备周边严禁存放易燃易爆物品。</w:t>
            </w:r>
          </w:p>
        </w:tc>
      </w:tr>
    </w:tbl>
    <w:p>
      <w:pPr>
        <w:widowControl/>
        <w:spacing w:line="500" w:lineRule="exact"/>
        <w:ind w:firstLine="480" w:firstLineChars="200"/>
        <w:rPr>
          <w:rFonts w:ascii="宋体" w:hAnsi="宋体"/>
          <w:color w:val="auto"/>
          <w:sz w:val="24"/>
        </w:rPr>
      </w:pPr>
      <w:r>
        <w:rPr>
          <w:rFonts w:hint="eastAsia" w:ascii="宋体" w:hAnsi="宋体"/>
          <w:color w:val="auto"/>
          <w:sz w:val="24"/>
        </w:rPr>
        <w:t>评价结果：存在的危险有害因素为触电（雷击）、火灾，主要防治的为触电（雷击）、火灾。</w:t>
      </w:r>
    </w:p>
    <w:p>
      <w:pPr>
        <w:pStyle w:val="4"/>
        <w:keepLines w:val="0"/>
        <w:widowControl/>
        <w:spacing w:before="120" w:after="120" w:line="500" w:lineRule="exact"/>
        <w:rPr>
          <w:rFonts w:ascii="宋体" w:hAnsi="宋体" w:eastAsia="宋体"/>
          <w:b/>
          <w:bCs w:val="0"/>
          <w:color w:val="auto"/>
          <w:kern w:val="28"/>
          <w:sz w:val="28"/>
          <w:szCs w:val="28"/>
        </w:rPr>
      </w:pPr>
      <w:bookmarkStart w:id="193" w:name="_Toc21511327"/>
      <w:bookmarkStart w:id="194" w:name="_Toc150262781"/>
      <w:r>
        <w:rPr>
          <w:rFonts w:hint="eastAsia" w:ascii="宋体" w:hAnsi="宋体" w:eastAsia="宋体"/>
          <w:b/>
          <w:bCs w:val="0"/>
          <w:color w:val="auto"/>
          <w:kern w:val="28"/>
          <w:sz w:val="28"/>
          <w:szCs w:val="28"/>
        </w:rPr>
        <w:t>3.</w:t>
      </w:r>
      <w:r>
        <w:rPr>
          <w:rFonts w:ascii="宋体" w:hAnsi="宋体" w:eastAsia="宋体"/>
          <w:b/>
          <w:bCs w:val="0"/>
          <w:color w:val="auto"/>
          <w:kern w:val="28"/>
          <w:sz w:val="28"/>
          <w:szCs w:val="28"/>
        </w:rPr>
        <w:t>7</w:t>
      </w:r>
      <w:r>
        <w:rPr>
          <w:rFonts w:hint="eastAsia" w:ascii="宋体" w:hAnsi="宋体" w:eastAsia="宋体"/>
          <w:b/>
          <w:bCs w:val="0"/>
          <w:color w:val="auto"/>
          <w:kern w:val="28"/>
          <w:sz w:val="28"/>
          <w:szCs w:val="28"/>
        </w:rPr>
        <w:t>防排水单元评价</w:t>
      </w:r>
      <w:bookmarkEnd w:id="193"/>
      <w:bookmarkEnd w:id="194"/>
    </w:p>
    <w:p>
      <w:pPr>
        <w:pStyle w:val="5"/>
        <w:keepLines w:val="0"/>
        <w:widowControl/>
        <w:spacing w:before="120" w:after="120" w:line="500" w:lineRule="exact"/>
        <w:rPr>
          <w:rFonts w:ascii="宋体" w:hAnsi="宋体"/>
          <w:color w:val="auto"/>
          <w:kern w:val="28"/>
          <w:sz w:val="28"/>
          <w:szCs w:val="28"/>
        </w:rPr>
      </w:pPr>
      <w:r>
        <w:rPr>
          <w:rFonts w:hint="eastAsia" w:ascii="宋体" w:hAnsi="宋体"/>
          <w:color w:val="auto"/>
          <w:kern w:val="28"/>
          <w:sz w:val="28"/>
          <w:szCs w:val="28"/>
        </w:rPr>
        <w:t>3.</w:t>
      </w:r>
      <w:r>
        <w:rPr>
          <w:rFonts w:ascii="宋体" w:hAnsi="宋体"/>
          <w:color w:val="auto"/>
          <w:kern w:val="28"/>
          <w:sz w:val="28"/>
          <w:szCs w:val="28"/>
        </w:rPr>
        <w:t>7</w:t>
      </w:r>
      <w:r>
        <w:rPr>
          <w:rFonts w:hint="eastAsia" w:ascii="宋体" w:hAnsi="宋体"/>
          <w:color w:val="auto"/>
          <w:kern w:val="28"/>
          <w:sz w:val="28"/>
          <w:szCs w:val="28"/>
        </w:rPr>
        <w:t>.1防排水单元预先危险性分析</w:t>
      </w:r>
    </w:p>
    <w:p>
      <w:pPr>
        <w:widowControl/>
        <w:spacing w:line="500" w:lineRule="exact"/>
        <w:jc w:val="center"/>
        <w:outlineLvl w:val="4"/>
        <w:rPr>
          <w:rFonts w:ascii="宋体" w:hAnsi="宋体"/>
          <w:b/>
          <w:color w:val="auto"/>
          <w:sz w:val="24"/>
        </w:rPr>
      </w:pPr>
      <w:r>
        <w:rPr>
          <w:rFonts w:hint="eastAsia" w:ascii="宋体" w:hAnsi="宋体"/>
          <w:b/>
          <w:color w:val="auto"/>
          <w:sz w:val="24"/>
        </w:rPr>
        <w:t>表</w:t>
      </w:r>
      <w:r>
        <w:rPr>
          <w:rFonts w:ascii="宋体" w:hAnsi="宋体"/>
          <w:b/>
          <w:color w:val="auto"/>
          <w:sz w:val="24"/>
        </w:rPr>
        <w:t>3</w:t>
      </w:r>
      <w:r>
        <w:rPr>
          <w:rFonts w:hint="eastAsia" w:ascii="宋体" w:hAnsi="宋体"/>
          <w:b/>
          <w:color w:val="auto"/>
          <w:sz w:val="24"/>
        </w:rPr>
        <w:t>-</w:t>
      </w:r>
      <w:r>
        <w:rPr>
          <w:rFonts w:ascii="宋体" w:hAnsi="宋体"/>
          <w:b/>
          <w:color w:val="auto"/>
          <w:sz w:val="24"/>
        </w:rPr>
        <w:t xml:space="preserve">7 </w:t>
      </w:r>
      <w:r>
        <w:rPr>
          <w:rFonts w:hint="eastAsia" w:ascii="宋体" w:hAnsi="宋体"/>
          <w:b/>
          <w:color w:val="auto"/>
          <w:sz w:val="24"/>
        </w:rPr>
        <w:t>防排水子单元预先危险性分析表</w:t>
      </w:r>
    </w:p>
    <w:tbl>
      <w:tblPr>
        <w:tblStyle w:val="41"/>
        <w:tblW w:w="14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1134"/>
        <w:gridCol w:w="907"/>
        <w:gridCol w:w="4819"/>
        <w:gridCol w:w="1077"/>
        <w:gridCol w:w="1077"/>
        <w:gridCol w:w="4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tblHeader/>
          <w:jc w:val="center"/>
        </w:trPr>
        <w:tc>
          <w:tcPr>
            <w:tcW w:w="794" w:type="dxa"/>
            <w:vAlign w:val="center"/>
          </w:tcPr>
          <w:p>
            <w:pPr>
              <w:widowControl/>
              <w:jc w:val="center"/>
              <w:rPr>
                <w:rFonts w:ascii="宋体" w:hAnsi="宋体"/>
                <w:b/>
                <w:color w:val="auto"/>
                <w:szCs w:val="21"/>
              </w:rPr>
            </w:pPr>
            <w:r>
              <w:rPr>
                <w:rFonts w:hint="eastAsia" w:ascii="宋体" w:hAnsi="宋体"/>
                <w:b/>
                <w:color w:val="auto"/>
                <w:szCs w:val="21"/>
              </w:rPr>
              <w:t>序号</w:t>
            </w:r>
          </w:p>
        </w:tc>
        <w:tc>
          <w:tcPr>
            <w:tcW w:w="1134" w:type="dxa"/>
            <w:vAlign w:val="center"/>
          </w:tcPr>
          <w:p>
            <w:pPr>
              <w:widowControl/>
              <w:jc w:val="center"/>
              <w:rPr>
                <w:rFonts w:ascii="宋体" w:hAnsi="宋体"/>
                <w:b/>
                <w:color w:val="auto"/>
                <w:szCs w:val="21"/>
              </w:rPr>
            </w:pPr>
            <w:r>
              <w:rPr>
                <w:rFonts w:hint="eastAsia" w:ascii="宋体" w:hAnsi="宋体"/>
                <w:b/>
                <w:color w:val="auto"/>
                <w:szCs w:val="21"/>
              </w:rPr>
              <w:t>主要危险源位置</w:t>
            </w:r>
          </w:p>
        </w:tc>
        <w:tc>
          <w:tcPr>
            <w:tcW w:w="907" w:type="dxa"/>
            <w:vAlign w:val="center"/>
          </w:tcPr>
          <w:p>
            <w:pPr>
              <w:widowControl/>
              <w:jc w:val="center"/>
              <w:rPr>
                <w:rFonts w:ascii="宋体" w:hAnsi="宋体"/>
                <w:b/>
                <w:color w:val="auto"/>
                <w:szCs w:val="21"/>
              </w:rPr>
            </w:pPr>
            <w:r>
              <w:rPr>
                <w:rFonts w:hint="eastAsia" w:ascii="宋体" w:hAnsi="宋体"/>
                <w:b/>
                <w:color w:val="auto"/>
                <w:szCs w:val="21"/>
              </w:rPr>
              <w:t>潜在事故类型</w:t>
            </w:r>
          </w:p>
        </w:tc>
        <w:tc>
          <w:tcPr>
            <w:tcW w:w="4819" w:type="dxa"/>
            <w:vAlign w:val="center"/>
          </w:tcPr>
          <w:p>
            <w:pPr>
              <w:widowControl/>
              <w:jc w:val="center"/>
              <w:rPr>
                <w:rFonts w:ascii="宋体" w:hAnsi="宋体"/>
                <w:b/>
                <w:color w:val="auto"/>
                <w:szCs w:val="21"/>
              </w:rPr>
            </w:pPr>
            <w:r>
              <w:rPr>
                <w:rFonts w:hint="eastAsia" w:ascii="宋体" w:hAnsi="宋体"/>
                <w:b/>
                <w:color w:val="auto"/>
                <w:szCs w:val="21"/>
              </w:rPr>
              <w:t>触发条件</w:t>
            </w:r>
          </w:p>
        </w:tc>
        <w:tc>
          <w:tcPr>
            <w:tcW w:w="1077" w:type="dxa"/>
            <w:vAlign w:val="center"/>
          </w:tcPr>
          <w:p>
            <w:pPr>
              <w:widowControl/>
              <w:jc w:val="center"/>
              <w:rPr>
                <w:rFonts w:ascii="宋体" w:hAnsi="宋体"/>
                <w:b/>
                <w:color w:val="auto"/>
                <w:szCs w:val="21"/>
              </w:rPr>
            </w:pPr>
            <w:r>
              <w:rPr>
                <w:rFonts w:hint="eastAsia" w:ascii="宋体" w:hAnsi="宋体"/>
                <w:b/>
                <w:color w:val="auto"/>
                <w:szCs w:val="21"/>
              </w:rPr>
              <w:t>可能导致的后果</w:t>
            </w:r>
          </w:p>
        </w:tc>
        <w:tc>
          <w:tcPr>
            <w:tcW w:w="1077" w:type="dxa"/>
            <w:vAlign w:val="center"/>
          </w:tcPr>
          <w:p>
            <w:pPr>
              <w:widowControl/>
              <w:jc w:val="center"/>
              <w:rPr>
                <w:rFonts w:ascii="宋体" w:hAnsi="宋体"/>
                <w:b/>
                <w:color w:val="auto"/>
                <w:szCs w:val="21"/>
              </w:rPr>
            </w:pPr>
            <w:r>
              <w:rPr>
                <w:rFonts w:hint="eastAsia" w:ascii="宋体" w:hAnsi="宋体"/>
                <w:b/>
                <w:color w:val="auto"/>
                <w:szCs w:val="21"/>
              </w:rPr>
              <w:t>危险性等级</w:t>
            </w:r>
          </w:p>
        </w:tc>
        <w:tc>
          <w:tcPr>
            <w:tcW w:w="4479" w:type="dxa"/>
            <w:vAlign w:val="center"/>
          </w:tcPr>
          <w:p>
            <w:pPr>
              <w:widowControl/>
              <w:jc w:val="center"/>
              <w:rPr>
                <w:rFonts w:ascii="宋体" w:hAnsi="宋体"/>
                <w:b/>
                <w:color w:val="auto"/>
                <w:szCs w:val="21"/>
              </w:rPr>
            </w:pPr>
            <w:r>
              <w:rPr>
                <w:rFonts w:hint="eastAsia" w:ascii="宋体" w:hAnsi="宋体"/>
                <w:b/>
                <w:color w:val="auto"/>
                <w:szCs w:val="21"/>
              </w:rPr>
              <w:t>防范措施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1" w:hRule="atLeast"/>
          <w:jc w:val="center"/>
        </w:trPr>
        <w:tc>
          <w:tcPr>
            <w:tcW w:w="794" w:type="dxa"/>
            <w:vAlign w:val="center"/>
          </w:tcPr>
          <w:p>
            <w:pPr>
              <w:widowControl/>
              <w:jc w:val="center"/>
              <w:rPr>
                <w:rFonts w:ascii="宋体" w:hAnsi="宋体"/>
                <w:color w:val="auto"/>
                <w:szCs w:val="21"/>
              </w:rPr>
            </w:pPr>
            <w:r>
              <w:rPr>
                <w:rFonts w:hint="eastAsia" w:ascii="宋体" w:hAnsi="宋体"/>
                <w:color w:val="auto"/>
                <w:szCs w:val="21"/>
              </w:rPr>
              <w:t>1</w:t>
            </w:r>
          </w:p>
        </w:tc>
        <w:tc>
          <w:tcPr>
            <w:tcW w:w="1134" w:type="dxa"/>
            <w:vAlign w:val="center"/>
          </w:tcPr>
          <w:p>
            <w:pPr>
              <w:widowControl/>
              <w:jc w:val="center"/>
              <w:rPr>
                <w:rFonts w:ascii="宋体" w:hAnsi="宋体"/>
                <w:color w:val="auto"/>
                <w:szCs w:val="21"/>
              </w:rPr>
            </w:pPr>
            <w:r>
              <w:rPr>
                <w:rFonts w:hint="eastAsia" w:ascii="宋体" w:hAnsi="宋体"/>
                <w:color w:val="auto"/>
                <w:szCs w:val="21"/>
              </w:rPr>
              <w:t>采场</w:t>
            </w:r>
          </w:p>
          <w:p>
            <w:pPr>
              <w:widowControl/>
              <w:jc w:val="center"/>
              <w:rPr>
                <w:rFonts w:ascii="宋体" w:hAnsi="宋体"/>
                <w:color w:val="auto"/>
                <w:szCs w:val="21"/>
              </w:rPr>
            </w:pPr>
            <w:r>
              <w:rPr>
                <w:rFonts w:hint="eastAsia" w:ascii="宋体" w:hAnsi="宋体"/>
                <w:color w:val="auto"/>
                <w:szCs w:val="21"/>
              </w:rPr>
              <w:t>排土场</w:t>
            </w:r>
          </w:p>
        </w:tc>
        <w:tc>
          <w:tcPr>
            <w:tcW w:w="907" w:type="dxa"/>
            <w:vAlign w:val="center"/>
          </w:tcPr>
          <w:p>
            <w:pPr>
              <w:widowControl/>
              <w:jc w:val="center"/>
              <w:rPr>
                <w:rFonts w:ascii="宋体" w:hAnsi="宋体"/>
                <w:color w:val="auto"/>
                <w:szCs w:val="21"/>
              </w:rPr>
            </w:pPr>
            <w:r>
              <w:rPr>
                <w:rFonts w:hint="eastAsia" w:ascii="宋体" w:hAnsi="宋体"/>
                <w:color w:val="auto"/>
                <w:szCs w:val="21"/>
              </w:rPr>
              <w:t>坍塌</w:t>
            </w:r>
          </w:p>
          <w:p>
            <w:pPr>
              <w:widowControl/>
              <w:jc w:val="center"/>
              <w:rPr>
                <w:rFonts w:ascii="宋体" w:hAnsi="宋体"/>
                <w:color w:val="auto"/>
                <w:szCs w:val="21"/>
              </w:rPr>
            </w:pPr>
            <w:r>
              <w:rPr>
                <w:rFonts w:hint="eastAsia" w:ascii="宋体" w:hAnsi="宋体"/>
                <w:color w:val="auto"/>
                <w:szCs w:val="21"/>
              </w:rPr>
              <w:t>滑坡</w:t>
            </w:r>
          </w:p>
        </w:tc>
        <w:tc>
          <w:tcPr>
            <w:tcW w:w="4819" w:type="dxa"/>
            <w:vAlign w:val="center"/>
          </w:tcPr>
          <w:p>
            <w:pPr>
              <w:widowControl/>
              <w:rPr>
                <w:rFonts w:ascii="宋体" w:hAnsi="宋体"/>
                <w:color w:val="auto"/>
                <w:szCs w:val="21"/>
              </w:rPr>
            </w:pPr>
            <w:r>
              <w:rPr>
                <w:rFonts w:hint="eastAsia" w:ascii="宋体" w:hAnsi="宋体"/>
                <w:color w:val="auto"/>
                <w:szCs w:val="21"/>
              </w:rPr>
              <w:t>（1）设计排水系统不合理，排水能力无法满足在日最大降雨量条件下排水能力要求。</w:t>
            </w:r>
          </w:p>
          <w:p>
            <w:pPr>
              <w:widowControl/>
              <w:rPr>
                <w:rFonts w:ascii="宋体" w:hAns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）矿山开采过程中未按设计要求进行防排水系统修建，或定期进行检查及维护。</w:t>
            </w:r>
          </w:p>
          <w:p>
            <w:pPr>
              <w:widowControl/>
              <w:rPr>
                <w:rFonts w:ascii="宋体" w:hAns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）采场、排土场各台阶内侧无修筑临时排水沟。</w:t>
            </w:r>
          </w:p>
        </w:tc>
        <w:tc>
          <w:tcPr>
            <w:tcW w:w="1077" w:type="dxa"/>
            <w:vAlign w:val="center"/>
          </w:tcPr>
          <w:p>
            <w:pPr>
              <w:widowControl/>
              <w:jc w:val="center"/>
              <w:rPr>
                <w:rFonts w:ascii="宋体" w:hAnsi="宋体"/>
                <w:color w:val="auto"/>
                <w:szCs w:val="21"/>
              </w:rPr>
            </w:pPr>
            <w:r>
              <w:rPr>
                <w:rFonts w:hint="eastAsia" w:ascii="宋体" w:hAnsi="宋体"/>
                <w:color w:val="auto"/>
                <w:szCs w:val="21"/>
              </w:rPr>
              <w:t>人员重大伤亡、设备严重损坏</w:t>
            </w:r>
          </w:p>
        </w:tc>
        <w:tc>
          <w:tcPr>
            <w:tcW w:w="1077" w:type="dxa"/>
            <w:vAlign w:val="center"/>
          </w:tcPr>
          <w:p>
            <w:pPr>
              <w:widowControl/>
              <w:jc w:val="center"/>
              <w:rPr>
                <w:rFonts w:ascii="宋体" w:hAnsi="宋体"/>
                <w:color w:val="auto"/>
                <w:szCs w:val="21"/>
              </w:rPr>
            </w:pPr>
            <w:r>
              <w:rPr>
                <w:rFonts w:hint="eastAsia" w:ascii="宋体" w:hAnsi="宋体"/>
                <w:color w:val="auto"/>
                <w:szCs w:val="21"/>
              </w:rPr>
              <w:t>Ⅳ</w:t>
            </w:r>
          </w:p>
        </w:tc>
        <w:tc>
          <w:tcPr>
            <w:tcW w:w="4479" w:type="dxa"/>
            <w:vAlign w:val="center"/>
          </w:tcPr>
          <w:p>
            <w:pPr>
              <w:widowControl/>
              <w:rPr>
                <w:rFonts w:ascii="宋体" w:hAnsi="宋体"/>
                <w:color w:val="auto"/>
                <w:szCs w:val="21"/>
              </w:rPr>
            </w:pPr>
            <w:r>
              <w:rPr>
                <w:rFonts w:hint="eastAsia" w:ascii="宋体" w:hAnsi="宋体"/>
                <w:color w:val="auto"/>
                <w:szCs w:val="21"/>
              </w:rPr>
              <w:t>（1）设计应按日最大降雨量对截排水沟排水能力进行校核。</w:t>
            </w:r>
          </w:p>
          <w:p>
            <w:pPr>
              <w:widowControl/>
              <w:rPr>
                <w:rFonts w:ascii="宋体" w:hAns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）矿山应严格按设计要求进行防排水系统修建并定期进行检查及维护。</w:t>
            </w:r>
          </w:p>
          <w:p>
            <w:pPr>
              <w:widowControl/>
              <w:rPr>
                <w:rFonts w:ascii="宋体" w:hAns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）在采场、排土场各台阶内侧修筑排水沟。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794" w:type="dxa"/>
            <w:vAlign w:val="center"/>
          </w:tcPr>
          <w:p>
            <w:pPr>
              <w:widowControl/>
              <w:jc w:val="center"/>
              <w:rPr>
                <w:rFonts w:ascii="宋体" w:hAnsi="宋体"/>
                <w:color w:val="auto"/>
                <w:szCs w:val="21"/>
              </w:rPr>
            </w:pPr>
            <w:r>
              <w:rPr>
                <w:rFonts w:hint="eastAsia" w:ascii="宋体" w:hAnsi="宋体"/>
                <w:color w:val="auto"/>
                <w:szCs w:val="21"/>
              </w:rPr>
              <w:t>2</w:t>
            </w:r>
          </w:p>
        </w:tc>
        <w:tc>
          <w:tcPr>
            <w:tcW w:w="1134" w:type="dxa"/>
            <w:vAlign w:val="center"/>
          </w:tcPr>
          <w:p>
            <w:pPr>
              <w:widowControl/>
              <w:jc w:val="center"/>
              <w:rPr>
                <w:rFonts w:ascii="宋体" w:hAnsi="宋体"/>
                <w:color w:val="auto"/>
                <w:szCs w:val="21"/>
              </w:rPr>
            </w:pPr>
            <w:r>
              <w:rPr>
                <w:rFonts w:hint="eastAsia" w:ascii="宋体" w:hAnsi="宋体"/>
                <w:color w:val="auto"/>
                <w:szCs w:val="21"/>
              </w:rPr>
              <w:t>采场、排土场上部</w:t>
            </w:r>
          </w:p>
          <w:p>
            <w:pPr>
              <w:widowControl/>
              <w:jc w:val="center"/>
              <w:rPr>
                <w:rFonts w:ascii="宋体" w:hAnsi="宋体"/>
                <w:color w:val="auto"/>
                <w:szCs w:val="21"/>
              </w:rPr>
            </w:pPr>
            <w:r>
              <w:rPr>
                <w:rFonts w:hint="eastAsia" w:ascii="宋体" w:hAnsi="宋体"/>
                <w:color w:val="auto"/>
                <w:szCs w:val="21"/>
              </w:rPr>
              <w:t>采场、排土场边坡</w:t>
            </w:r>
          </w:p>
        </w:tc>
        <w:tc>
          <w:tcPr>
            <w:tcW w:w="907" w:type="dxa"/>
            <w:vAlign w:val="center"/>
          </w:tcPr>
          <w:p>
            <w:pPr>
              <w:widowControl/>
              <w:jc w:val="center"/>
              <w:rPr>
                <w:rFonts w:ascii="宋体" w:hAnsi="宋体"/>
                <w:color w:val="auto"/>
                <w:szCs w:val="21"/>
              </w:rPr>
            </w:pPr>
            <w:r>
              <w:rPr>
                <w:rFonts w:hint="eastAsia" w:ascii="宋体" w:hAnsi="宋体"/>
                <w:color w:val="auto"/>
                <w:szCs w:val="21"/>
              </w:rPr>
              <w:t>坍塌</w:t>
            </w:r>
          </w:p>
        </w:tc>
        <w:tc>
          <w:tcPr>
            <w:tcW w:w="4819" w:type="dxa"/>
            <w:vAlign w:val="center"/>
          </w:tcPr>
          <w:p>
            <w:pPr>
              <w:widowControl/>
              <w:rPr>
                <w:rFonts w:ascii="宋体" w:hAnsi="宋体"/>
                <w:color w:val="auto"/>
                <w:szCs w:val="21"/>
              </w:rPr>
            </w:pPr>
            <w:r>
              <w:rPr>
                <w:rFonts w:hint="eastAsia" w:ascii="宋体" w:hAnsi="宋体"/>
                <w:color w:val="auto"/>
                <w:szCs w:val="21"/>
              </w:rPr>
              <w:t>①采场、排土场采场、排土场上部无截（排）水沟；</w:t>
            </w:r>
          </w:p>
          <w:p>
            <w:pPr>
              <w:widowControl/>
              <w:rPr>
                <w:rFonts w:ascii="宋体" w:hAnsi="宋体"/>
                <w:color w:val="auto"/>
                <w:szCs w:val="21"/>
              </w:rPr>
            </w:pPr>
            <w:r>
              <w:rPr>
                <w:rFonts w:hint="eastAsia" w:ascii="宋体" w:hAnsi="宋体"/>
                <w:color w:val="auto"/>
                <w:szCs w:val="21"/>
              </w:rPr>
              <w:t>②采场、排土场雨水冲刷边坡。</w:t>
            </w:r>
          </w:p>
        </w:tc>
        <w:tc>
          <w:tcPr>
            <w:tcW w:w="1077" w:type="dxa"/>
            <w:vAlign w:val="center"/>
          </w:tcPr>
          <w:p>
            <w:pPr>
              <w:widowControl/>
              <w:jc w:val="center"/>
              <w:rPr>
                <w:rFonts w:ascii="宋体" w:hAnsi="宋体"/>
                <w:color w:val="auto"/>
                <w:szCs w:val="21"/>
              </w:rPr>
            </w:pPr>
            <w:r>
              <w:rPr>
                <w:rFonts w:hint="eastAsia" w:ascii="宋体" w:hAnsi="宋体"/>
                <w:color w:val="auto"/>
                <w:szCs w:val="21"/>
              </w:rPr>
              <w:t>人员重大伤亡、财产损失</w:t>
            </w:r>
          </w:p>
        </w:tc>
        <w:tc>
          <w:tcPr>
            <w:tcW w:w="1077" w:type="dxa"/>
            <w:vAlign w:val="center"/>
          </w:tcPr>
          <w:p>
            <w:pPr>
              <w:widowControl/>
              <w:jc w:val="center"/>
              <w:rPr>
                <w:rFonts w:ascii="宋体" w:hAnsi="宋体"/>
                <w:color w:val="auto"/>
                <w:szCs w:val="21"/>
              </w:rPr>
            </w:pPr>
            <w:r>
              <w:rPr>
                <w:rFonts w:hint="eastAsia" w:ascii="宋体" w:hAnsi="宋体"/>
                <w:color w:val="auto"/>
                <w:szCs w:val="21"/>
              </w:rPr>
              <w:t>Ⅳ</w:t>
            </w:r>
          </w:p>
        </w:tc>
        <w:tc>
          <w:tcPr>
            <w:tcW w:w="4479" w:type="dxa"/>
            <w:vAlign w:val="center"/>
          </w:tcPr>
          <w:p>
            <w:pPr>
              <w:widowControl/>
              <w:rPr>
                <w:rFonts w:ascii="宋体" w:hAnsi="宋体"/>
                <w:color w:val="auto"/>
                <w:szCs w:val="21"/>
              </w:rPr>
            </w:pPr>
            <w:r>
              <w:rPr>
                <w:rFonts w:hint="eastAsia" w:ascii="宋体" w:hAnsi="宋体"/>
                <w:color w:val="auto"/>
                <w:szCs w:val="21"/>
              </w:rPr>
              <w:t>（1）完善采场、排土场上部的排水沟；</w:t>
            </w:r>
          </w:p>
          <w:p>
            <w:pPr>
              <w:widowControl/>
              <w:rPr>
                <w:rFonts w:ascii="宋体" w:hAnsi="宋体"/>
                <w:color w:val="auto"/>
                <w:szCs w:val="21"/>
              </w:rPr>
            </w:pPr>
            <w:r>
              <w:rPr>
                <w:rFonts w:hint="eastAsia" w:ascii="宋体" w:hAnsi="宋体"/>
                <w:color w:val="auto"/>
                <w:szCs w:val="21"/>
              </w:rPr>
              <w:t>（2）加强采场、排土场边坡的监测。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794" w:type="dxa"/>
            <w:vAlign w:val="center"/>
          </w:tcPr>
          <w:p>
            <w:pPr>
              <w:widowControl/>
              <w:jc w:val="center"/>
              <w:rPr>
                <w:rFonts w:ascii="宋体" w:hAnsi="宋体"/>
                <w:color w:val="auto"/>
                <w:szCs w:val="21"/>
              </w:rPr>
            </w:pPr>
            <w:r>
              <w:rPr>
                <w:rFonts w:ascii="宋体" w:hAnsi="宋体"/>
                <w:color w:val="auto"/>
                <w:szCs w:val="21"/>
              </w:rPr>
              <w:t>3</w:t>
            </w:r>
          </w:p>
        </w:tc>
        <w:tc>
          <w:tcPr>
            <w:tcW w:w="1134" w:type="dxa"/>
            <w:vAlign w:val="center"/>
          </w:tcPr>
          <w:p>
            <w:pPr>
              <w:widowControl/>
              <w:jc w:val="center"/>
              <w:rPr>
                <w:rFonts w:ascii="宋体" w:hAnsi="宋体"/>
                <w:color w:val="auto"/>
                <w:szCs w:val="21"/>
              </w:rPr>
            </w:pPr>
            <w:r>
              <w:rPr>
                <w:rFonts w:hint="eastAsia" w:ascii="宋体" w:hAnsi="宋体"/>
                <w:color w:val="auto"/>
                <w:szCs w:val="21"/>
              </w:rPr>
              <w:t>运输道路</w:t>
            </w:r>
          </w:p>
        </w:tc>
        <w:tc>
          <w:tcPr>
            <w:tcW w:w="907" w:type="dxa"/>
            <w:vAlign w:val="center"/>
          </w:tcPr>
          <w:p>
            <w:pPr>
              <w:widowControl/>
              <w:jc w:val="center"/>
              <w:rPr>
                <w:rFonts w:ascii="宋体" w:hAnsi="宋体"/>
                <w:color w:val="auto"/>
                <w:szCs w:val="21"/>
              </w:rPr>
            </w:pPr>
            <w:r>
              <w:rPr>
                <w:rFonts w:hint="eastAsia" w:ascii="宋体" w:hAnsi="宋体"/>
                <w:color w:val="auto"/>
                <w:szCs w:val="21"/>
              </w:rPr>
              <w:t>车辆</w:t>
            </w:r>
          </w:p>
          <w:p>
            <w:pPr>
              <w:widowControl/>
              <w:jc w:val="center"/>
              <w:rPr>
                <w:rFonts w:ascii="宋体" w:hAnsi="宋体"/>
                <w:color w:val="auto"/>
                <w:szCs w:val="21"/>
              </w:rPr>
            </w:pPr>
            <w:r>
              <w:rPr>
                <w:rFonts w:hint="eastAsia" w:ascii="宋体" w:hAnsi="宋体"/>
                <w:color w:val="auto"/>
                <w:szCs w:val="21"/>
              </w:rPr>
              <w:t>伤害</w:t>
            </w:r>
          </w:p>
        </w:tc>
        <w:tc>
          <w:tcPr>
            <w:tcW w:w="4819" w:type="dxa"/>
            <w:vAlign w:val="center"/>
          </w:tcPr>
          <w:p>
            <w:pPr>
              <w:widowControl/>
              <w:rPr>
                <w:rFonts w:ascii="宋体" w:hAnsi="宋体"/>
                <w:color w:val="auto"/>
                <w:szCs w:val="21"/>
              </w:rPr>
            </w:pPr>
            <w:r>
              <w:rPr>
                <w:rFonts w:hint="eastAsia" w:ascii="宋体" w:hAnsi="宋体"/>
                <w:color w:val="auto"/>
                <w:szCs w:val="21"/>
              </w:rPr>
              <w:t>（1）道路傍山侧无水沟。</w:t>
            </w:r>
          </w:p>
          <w:p>
            <w:pPr>
              <w:widowControl/>
              <w:rPr>
                <w:rFonts w:ascii="宋体" w:hAnsi="宋体"/>
                <w:color w:val="auto"/>
                <w:szCs w:val="21"/>
              </w:rPr>
            </w:pPr>
            <w:r>
              <w:rPr>
                <w:rFonts w:hint="eastAsia" w:ascii="宋体" w:hAnsi="宋体"/>
                <w:color w:val="auto"/>
                <w:szCs w:val="21"/>
              </w:rPr>
              <w:t>（2）山坡水冲刷路面、边坡。</w:t>
            </w:r>
          </w:p>
        </w:tc>
        <w:tc>
          <w:tcPr>
            <w:tcW w:w="1077" w:type="dxa"/>
            <w:vAlign w:val="center"/>
          </w:tcPr>
          <w:p>
            <w:pPr>
              <w:widowControl/>
              <w:jc w:val="center"/>
              <w:rPr>
                <w:rFonts w:ascii="宋体" w:hAnsi="宋体"/>
                <w:color w:val="auto"/>
                <w:szCs w:val="21"/>
              </w:rPr>
            </w:pPr>
            <w:r>
              <w:rPr>
                <w:rFonts w:hint="eastAsia" w:ascii="宋体" w:hAnsi="宋体"/>
                <w:color w:val="auto"/>
                <w:szCs w:val="21"/>
              </w:rPr>
              <w:t>人员伤亡财产损失</w:t>
            </w:r>
          </w:p>
        </w:tc>
        <w:tc>
          <w:tcPr>
            <w:tcW w:w="1077" w:type="dxa"/>
            <w:vAlign w:val="center"/>
          </w:tcPr>
          <w:p>
            <w:pPr>
              <w:widowControl/>
              <w:jc w:val="center"/>
              <w:rPr>
                <w:rFonts w:ascii="宋体" w:hAnsi="宋体"/>
                <w:color w:val="auto"/>
                <w:szCs w:val="21"/>
              </w:rPr>
            </w:pPr>
            <w:r>
              <w:rPr>
                <w:rFonts w:hint="eastAsia" w:ascii="宋体" w:hAnsi="宋体"/>
                <w:color w:val="auto"/>
                <w:szCs w:val="21"/>
              </w:rPr>
              <w:t>Ⅲ</w:t>
            </w:r>
          </w:p>
        </w:tc>
        <w:tc>
          <w:tcPr>
            <w:tcW w:w="4479" w:type="dxa"/>
            <w:vAlign w:val="center"/>
          </w:tcPr>
          <w:p>
            <w:pPr>
              <w:widowControl/>
              <w:rPr>
                <w:rFonts w:ascii="宋体" w:hAnsi="宋体"/>
                <w:color w:val="auto"/>
                <w:szCs w:val="21"/>
              </w:rPr>
            </w:pPr>
            <w:r>
              <w:rPr>
                <w:rFonts w:hint="eastAsia" w:ascii="宋体" w:hAnsi="宋体"/>
                <w:color w:val="auto"/>
                <w:szCs w:val="21"/>
              </w:rPr>
              <w:t>（1）修筑好道路内侧的排水沟。</w:t>
            </w:r>
          </w:p>
          <w:p>
            <w:pPr>
              <w:widowControl/>
              <w:rPr>
                <w:rFonts w:ascii="宋体" w:hAnsi="宋体"/>
                <w:color w:val="auto"/>
                <w:szCs w:val="21"/>
              </w:rPr>
            </w:pPr>
            <w:r>
              <w:rPr>
                <w:rFonts w:hint="eastAsia" w:ascii="宋体" w:hAnsi="宋体"/>
                <w:color w:val="auto"/>
                <w:szCs w:val="21"/>
              </w:rPr>
              <w:t>（2）加强管理。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dxa"/>
            <w:vAlign w:val="center"/>
          </w:tcPr>
          <w:p>
            <w:pPr>
              <w:widowControl/>
              <w:jc w:val="center"/>
              <w:rPr>
                <w:rFonts w:ascii="宋体" w:hAnsi="宋体"/>
                <w:color w:val="auto"/>
                <w:szCs w:val="21"/>
              </w:rPr>
            </w:pPr>
            <w:r>
              <w:rPr>
                <w:rFonts w:ascii="宋体" w:hAnsi="宋体"/>
                <w:color w:val="auto"/>
                <w:szCs w:val="21"/>
              </w:rPr>
              <w:t>4</w:t>
            </w:r>
          </w:p>
        </w:tc>
        <w:tc>
          <w:tcPr>
            <w:tcW w:w="1134" w:type="dxa"/>
            <w:vAlign w:val="center"/>
          </w:tcPr>
          <w:p>
            <w:pPr>
              <w:widowControl/>
              <w:jc w:val="center"/>
              <w:rPr>
                <w:rFonts w:ascii="宋体" w:hAnsi="宋体"/>
                <w:color w:val="auto"/>
                <w:szCs w:val="21"/>
              </w:rPr>
            </w:pPr>
            <w:r>
              <w:rPr>
                <w:rFonts w:hint="eastAsia" w:ascii="宋体" w:hAnsi="宋体"/>
                <w:color w:val="auto"/>
                <w:szCs w:val="21"/>
              </w:rPr>
              <w:t>办公生活区</w:t>
            </w:r>
          </w:p>
        </w:tc>
        <w:tc>
          <w:tcPr>
            <w:tcW w:w="907" w:type="dxa"/>
            <w:vAlign w:val="center"/>
          </w:tcPr>
          <w:p>
            <w:pPr>
              <w:widowControl/>
              <w:jc w:val="center"/>
              <w:rPr>
                <w:rFonts w:ascii="宋体" w:hAnsi="宋体"/>
                <w:color w:val="auto"/>
                <w:szCs w:val="21"/>
              </w:rPr>
            </w:pPr>
            <w:r>
              <w:rPr>
                <w:rFonts w:hint="eastAsia" w:ascii="宋体" w:hAnsi="宋体"/>
                <w:color w:val="auto"/>
                <w:szCs w:val="21"/>
              </w:rPr>
              <w:t>火灾</w:t>
            </w:r>
          </w:p>
        </w:tc>
        <w:tc>
          <w:tcPr>
            <w:tcW w:w="4819" w:type="dxa"/>
            <w:vAlign w:val="center"/>
          </w:tcPr>
          <w:p>
            <w:pPr>
              <w:widowControl/>
              <w:rPr>
                <w:rFonts w:ascii="宋体" w:hAnsi="宋体"/>
                <w:color w:val="auto"/>
                <w:szCs w:val="21"/>
              </w:rPr>
            </w:pPr>
            <w:r>
              <w:rPr>
                <w:rFonts w:hint="eastAsia" w:ascii="宋体" w:hAnsi="宋体"/>
                <w:color w:val="auto"/>
                <w:szCs w:val="21"/>
              </w:rPr>
              <w:t>①有其他原因引起的火灾；</w:t>
            </w:r>
          </w:p>
          <w:p>
            <w:pPr>
              <w:widowControl/>
              <w:rPr>
                <w:rFonts w:ascii="宋体" w:hAnsi="宋体"/>
                <w:color w:val="auto"/>
                <w:szCs w:val="21"/>
              </w:rPr>
            </w:pPr>
            <w:r>
              <w:rPr>
                <w:rFonts w:hint="eastAsia" w:ascii="宋体" w:hAnsi="宋体"/>
                <w:color w:val="auto"/>
                <w:szCs w:val="21"/>
              </w:rPr>
              <w:t>②矿山没设蓄水池。</w:t>
            </w:r>
          </w:p>
        </w:tc>
        <w:tc>
          <w:tcPr>
            <w:tcW w:w="1077" w:type="dxa"/>
            <w:vAlign w:val="center"/>
          </w:tcPr>
          <w:p>
            <w:pPr>
              <w:widowControl/>
              <w:jc w:val="center"/>
              <w:rPr>
                <w:rFonts w:ascii="宋体" w:hAnsi="宋体"/>
                <w:color w:val="auto"/>
                <w:szCs w:val="21"/>
              </w:rPr>
            </w:pPr>
            <w:r>
              <w:rPr>
                <w:rFonts w:hint="eastAsia" w:ascii="宋体" w:hAnsi="宋体"/>
                <w:color w:val="auto"/>
                <w:szCs w:val="21"/>
              </w:rPr>
              <w:t>人员伤亡财产损失</w:t>
            </w:r>
          </w:p>
        </w:tc>
        <w:tc>
          <w:tcPr>
            <w:tcW w:w="1077" w:type="dxa"/>
            <w:vAlign w:val="center"/>
          </w:tcPr>
          <w:p>
            <w:pPr>
              <w:widowControl/>
              <w:jc w:val="center"/>
              <w:rPr>
                <w:rFonts w:ascii="宋体" w:hAnsi="宋体"/>
                <w:color w:val="auto"/>
                <w:szCs w:val="21"/>
              </w:rPr>
            </w:pPr>
            <w:r>
              <w:rPr>
                <w:rFonts w:hint="eastAsia" w:ascii="宋体" w:hAnsi="宋体"/>
                <w:color w:val="auto"/>
                <w:szCs w:val="21"/>
              </w:rPr>
              <w:t>Ⅲ</w:t>
            </w:r>
          </w:p>
        </w:tc>
        <w:tc>
          <w:tcPr>
            <w:tcW w:w="4479" w:type="dxa"/>
            <w:vAlign w:val="center"/>
          </w:tcPr>
          <w:p>
            <w:pPr>
              <w:widowControl/>
              <w:rPr>
                <w:rFonts w:ascii="宋体" w:hAnsi="宋体"/>
                <w:color w:val="auto"/>
                <w:szCs w:val="21"/>
              </w:rPr>
            </w:pPr>
            <w:r>
              <w:rPr>
                <w:rFonts w:hint="eastAsia" w:ascii="宋体" w:hAnsi="宋体"/>
                <w:color w:val="auto"/>
                <w:szCs w:val="21"/>
              </w:rPr>
              <w:t>（1）建立蓄水设施；</w:t>
            </w:r>
          </w:p>
          <w:p>
            <w:pPr>
              <w:widowControl/>
              <w:rPr>
                <w:rFonts w:ascii="宋体" w:hAnsi="宋体"/>
                <w:color w:val="auto"/>
                <w:szCs w:val="21"/>
              </w:rPr>
            </w:pPr>
            <w:r>
              <w:rPr>
                <w:rFonts w:hint="eastAsia" w:ascii="宋体" w:hAnsi="宋体"/>
                <w:color w:val="auto"/>
                <w:szCs w:val="21"/>
              </w:rPr>
              <w:t>（2）配备相应的灭火器材；</w:t>
            </w:r>
          </w:p>
          <w:p>
            <w:pPr>
              <w:widowControl/>
              <w:rPr>
                <w:rFonts w:ascii="宋体" w:hAnsi="宋体"/>
                <w:color w:val="auto"/>
                <w:szCs w:val="21"/>
              </w:rPr>
            </w:pPr>
            <w:r>
              <w:rPr>
                <w:rFonts w:hint="eastAsia" w:ascii="宋体" w:hAnsi="宋体"/>
                <w:color w:val="auto"/>
                <w:szCs w:val="21"/>
              </w:rPr>
              <w:t>（3）完善矿区的供水系统及供水设施。</w:t>
            </w:r>
          </w:p>
        </w:tc>
      </w:tr>
    </w:tbl>
    <w:p>
      <w:pPr>
        <w:widowControl/>
        <w:spacing w:line="500" w:lineRule="exact"/>
        <w:ind w:firstLine="480" w:firstLineChars="200"/>
        <w:rPr>
          <w:rFonts w:ascii="宋体" w:hAnsi="宋体"/>
          <w:color w:val="auto"/>
          <w:sz w:val="24"/>
        </w:rPr>
      </w:pPr>
      <w:r>
        <w:rPr>
          <w:rFonts w:hint="eastAsia" w:ascii="宋体" w:hAnsi="宋体"/>
          <w:color w:val="auto"/>
          <w:sz w:val="24"/>
        </w:rPr>
        <w:t>评价结果：存在的危险有害因素为坍塌滑坡、车辆伤害、火灾。主要防治的为坍塌滑坡。</w:t>
      </w:r>
    </w:p>
    <w:p>
      <w:pPr>
        <w:rPr>
          <w:rFonts w:hint="eastAsia" w:ascii="宋体" w:hAnsi="宋体"/>
          <w:color w:val="auto"/>
          <w:kern w:val="28"/>
          <w:sz w:val="28"/>
          <w:szCs w:val="28"/>
        </w:rPr>
      </w:pPr>
      <w:r>
        <w:rPr>
          <w:rFonts w:hint="eastAsia" w:ascii="宋体" w:hAnsi="宋体"/>
          <w:color w:val="auto"/>
          <w:kern w:val="28"/>
          <w:sz w:val="28"/>
          <w:szCs w:val="28"/>
        </w:rPr>
        <w:br w:type="page"/>
      </w:r>
    </w:p>
    <w:p>
      <w:pPr>
        <w:pStyle w:val="5"/>
        <w:keepLines w:val="0"/>
        <w:widowControl/>
        <w:spacing w:before="120" w:after="120" w:line="500" w:lineRule="exact"/>
        <w:rPr>
          <w:rFonts w:hint="eastAsia" w:ascii="宋体" w:hAnsi="宋体"/>
          <w:color w:val="auto"/>
          <w:kern w:val="28"/>
          <w:sz w:val="28"/>
          <w:szCs w:val="28"/>
        </w:rPr>
      </w:pPr>
      <w:r>
        <w:rPr>
          <w:rFonts w:hint="eastAsia" w:ascii="宋体" w:hAnsi="宋体"/>
          <w:color w:val="auto"/>
          <w:kern w:val="28"/>
          <w:sz w:val="28"/>
          <w:szCs w:val="28"/>
        </w:rPr>
        <w:t>3.</w:t>
      </w:r>
      <w:r>
        <w:rPr>
          <w:rFonts w:ascii="宋体" w:hAnsi="宋体"/>
          <w:color w:val="auto"/>
          <w:kern w:val="28"/>
          <w:sz w:val="28"/>
          <w:szCs w:val="28"/>
        </w:rPr>
        <w:t>7</w:t>
      </w:r>
      <w:r>
        <w:rPr>
          <w:rFonts w:hint="eastAsia" w:ascii="宋体" w:hAnsi="宋体"/>
          <w:color w:val="auto"/>
          <w:kern w:val="28"/>
          <w:sz w:val="28"/>
          <w:szCs w:val="28"/>
        </w:rPr>
        <w:t>.</w:t>
      </w:r>
      <w:r>
        <w:rPr>
          <w:rFonts w:ascii="宋体" w:hAnsi="宋体"/>
          <w:color w:val="auto"/>
          <w:kern w:val="28"/>
          <w:sz w:val="28"/>
          <w:szCs w:val="28"/>
        </w:rPr>
        <w:t>2</w:t>
      </w:r>
      <w:r>
        <w:rPr>
          <w:rFonts w:hint="eastAsia" w:ascii="宋体" w:hAnsi="宋体"/>
          <w:color w:val="auto"/>
          <w:kern w:val="28"/>
          <w:sz w:val="28"/>
          <w:szCs w:val="28"/>
        </w:rPr>
        <w:t>防排水单元建议</w:t>
      </w:r>
    </w:p>
    <w:p>
      <w:pPr>
        <w:spacing w:line="500" w:lineRule="exact"/>
        <w:ind w:firstLine="480" w:firstLineChars="200"/>
        <w:rPr>
          <w:rFonts w:ascii="宋体" w:hAnsi="宋体"/>
          <w:bCs/>
          <w:color w:val="auto"/>
          <w:sz w:val="24"/>
        </w:rPr>
      </w:pPr>
      <w:r>
        <w:rPr>
          <w:rFonts w:hint="eastAsia" w:ascii="宋体" w:hAnsi="宋体"/>
          <w:bCs/>
          <w:color w:val="auto"/>
          <w:sz w:val="24"/>
        </w:rPr>
        <w:t>矿区总排水沟设计参照《开发建设项目水土保持方案技术规范》设计标准10年一遇，清水洪峰流量按下式计算：</w:t>
      </w:r>
    </w:p>
    <w:p>
      <w:pPr>
        <w:ind w:firstLine="480" w:firstLineChars="200"/>
        <w:rPr>
          <w:rFonts w:ascii="宋体" w:hAnsi="宋体" w:cs="宋体"/>
          <w:color w:val="auto"/>
          <w:sz w:val="24"/>
        </w:rPr>
      </w:pPr>
      <w:r>
        <w:rPr>
          <w:rFonts w:hint="eastAsia" w:ascii="宋体" w:hAnsi="宋体" w:cs="宋体"/>
          <w:color w:val="auto"/>
          <w:sz w:val="24"/>
        </w:rPr>
        <w:object>
          <v:shape id="_x0000_i1025" o:spt="75" type="#_x0000_t75" style="height:101.45pt;width:324.8pt;" o:ole="t" filled="f" o:preferrelative="t" stroked="f" coordsize="21600,21600">
            <v:path/>
            <v:fill on="f" focussize="0,0"/>
            <v:stroke on="f" joinstyle="miter"/>
            <v:imagedata r:id="rId16" o:title=""/>
            <o:lock v:ext="edit" aspectratio="t"/>
            <w10:wrap type="none"/>
            <w10:anchorlock/>
          </v:shape>
          <o:OLEObject Type="Embed" ProgID="Equation.DSMT4" ShapeID="_x0000_i1025" DrawAspect="Content" ObjectID="_1468075725" r:id="rId15">
            <o:LockedField>false</o:LockedField>
          </o:OLEObject>
        </w:object>
      </w:r>
    </w:p>
    <w:p>
      <w:pPr>
        <w:spacing w:line="500" w:lineRule="exact"/>
        <w:ind w:firstLine="480" w:firstLineChars="200"/>
        <w:rPr>
          <w:rFonts w:ascii="宋体" w:hAnsi="宋体" w:cs="宋体"/>
          <w:color w:val="auto"/>
          <w:sz w:val="24"/>
          <w:vertAlign w:val="superscript"/>
        </w:rPr>
      </w:pPr>
      <w:r>
        <w:rPr>
          <w:rFonts w:hint="eastAsia" w:ascii="宋体" w:hAnsi="宋体" w:cs="宋体"/>
          <w:color w:val="auto"/>
          <w:sz w:val="24"/>
        </w:rPr>
        <w:t>上式中，</w:t>
      </w:r>
      <w:r>
        <w:rPr>
          <w:rFonts w:hint="eastAsia" w:ascii="宋体" w:hAnsi="宋体" w:cs="宋体"/>
          <w:color w:val="auto"/>
          <w:sz w:val="24"/>
        </w:rPr>
        <w:object>
          <v:shape id="_x0000_i1026" o:spt="75" type="#_x0000_t75" style="height:19.65pt;width:13.1pt;" o:ole="t" filled="f" o:preferrelative="t" stroked="f" coordsize="21600,21600">
            <v:path/>
            <v:fill on="f" focussize="0,0"/>
            <v:stroke on="f" joinstyle="miter"/>
            <v:imagedata r:id="rId18" o:title=""/>
            <o:lock v:ext="edit" aspectratio="t"/>
            <w10:wrap type="none"/>
            <w10:anchorlock/>
          </v:shape>
          <o:OLEObject Type="Embed" ProgID="Equation.DSMT4" ShapeID="_x0000_i1026" DrawAspect="Content" ObjectID="_1468075726" r:id="rId17">
            <o:LockedField>false</o:LockedField>
          </o:OLEObject>
        </w:object>
      </w:r>
      <w:r>
        <w:rPr>
          <w:rFonts w:ascii="宋体" w:hAnsi="宋体"/>
          <w:color w:val="auto"/>
          <w:sz w:val="24"/>
        </w:rPr>
        <w:t>取0.6，</w:t>
      </w:r>
      <w:r>
        <w:rPr>
          <w:rFonts w:hint="eastAsia" w:ascii="宋体" w:hAnsi="宋体" w:cs="宋体"/>
          <w:color w:val="auto"/>
          <w:sz w:val="24"/>
        </w:rPr>
        <w:t>根据气象资料，降雨强度</w:t>
      </w:r>
      <w:r>
        <w:rPr>
          <w:rFonts w:hint="eastAsia" w:ascii="宋体" w:hAnsi="宋体" w:cs="宋体"/>
          <w:color w:val="auto"/>
          <w:sz w:val="24"/>
        </w:rPr>
        <w:object>
          <v:shape id="_x0000_i1027" o:spt="75" type="#_x0000_t75" style="height:17.2pt;width:7.35pt;" o:ole="t" filled="f" o:preferrelative="t" stroked="f" coordsize="21600,21600">
            <v:path/>
            <v:fill on="f" focussize="0,0"/>
            <v:stroke on="f" joinstyle="miter"/>
            <v:imagedata r:id="rId20" o:title=""/>
            <o:lock v:ext="edit" aspectratio="t"/>
            <w10:wrap type="none"/>
            <w10:anchorlock/>
          </v:shape>
          <o:OLEObject Type="Embed" ProgID="Equation.DSMT4" ShapeID="_x0000_i1027" DrawAspect="Content" ObjectID="_1468075727" r:id="rId19">
            <o:LockedField>false</o:LockedField>
          </o:OLEObject>
        </w:object>
      </w:r>
      <w:r>
        <w:rPr>
          <w:rFonts w:ascii="宋体" w:hAnsi="宋体"/>
          <w:color w:val="auto"/>
          <w:sz w:val="24"/>
        </w:rPr>
        <w:t>取8.94mm/h；</w:t>
      </w:r>
      <w:r>
        <w:rPr>
          <w:rFonts w:ascii="宋体" w:hAnsi="宋体"/>
          <w:color w:val="auto"/>
          <w:sz w:val="24"/>
        </w:rPr>
        <w:object>
          <v:shape id="_x0000_i1028" o:spt="75" type="#_x0000_t75" style="height:13.9pt;width:13.9pt;" o:ole="t" filled="f" o:preferrelative="t" stroked="f" coordsize="21600,21600">
            <v:path/>
            <v:fill on="f" focussize="0,0"/>
            <v:stroke on="f" joinstyle="miter"/>
            <v:imagedata r:id="rId22" o:title=""/>
            <o:lock v:ext="edit" aspectratio="t"/>
            <w10:wrap type="none"/>
            <w10:anchorlock/>
          </v:shape>
          <o:OLEObject Type="Embed" ProgID="Equation.DSMT4" ShapeID="_x0000_i1028" DrawAspect="Content" ObjectID="_1468075728" r:id="rId21">
            <o:LockedField>false</o:LockedField>
          </o:OLEObject>
        </w:object>
      </w:r>
      <w:r>
        <w:rPr>
          <w:rFonts w:ascii="宋体" w:hAnsi="宋体"/>
          <w:color w:val="auto"/>
          <w:sz w:val="24"/>
        </w:rPr>
        <w:t>=0.279km</w:t>
      </w:r>
      <w:r>
        <w:rPr>
          <w:rFonts w:ascii="宋体" w:hAnsi="宋体"/>
          <w:color w:val="auto"/>
          <w:sz w:val="24"/>
          <w:vertAlign w:val="superscript"/>
        </w:rPr>
        <w:t>2</w:t>
      </w:r>
    </w:p>
    <w:p>
      <w:pPr>
        <w:spacing w:line="500" w:lineRule="exact"/>
        <w:ind w:firstLine="480" w:firstLineChars="200"/>
        <w:rPr>
          <w:rFonts w:ascii="宋体" w:hAnsi="宋体" w:cs="宋体"/>
          <w:color w:val="auto"/>
          <w:sz w:val="24"/>
        </w:rPr>
      </w:pPr>
      <w:r>
        <w:rPr>
          <w:rFonts w:hint="eastAsia" w:ascii="宋体" w:hAnsi="宋体" w:cs="宋体"/>
          <w:color w:val="auto"/>
          <w:sz w:val="24"/>
        </w:rPr>
        <w:t>代入上式，有</w:t>
      </w:r>
    </w:p>
    <w:p>
      <w:pPr>
        <w:spacing w:line="500" w:lineRule="exact"/>
        <w:ind w:firstLine="480" w:firstLineChars="200"/>
        <w:rPr>
          <w:rFonts w:ascii="宋体" w:hAnsi="宋体" w:cs="宋体"/>
          <w:color w:val="auto"/>
          <w:sz w:val="24"/>
        </w:rPr>
      </w:pPr>
      <w:r>
        <w:rPr>
          <w:rFonts w:hint="eastAsia" w:ascii="宋体" w:hAnsi="宋体" w:cs="宋体"/>
          <w:color w:val="auto"/>
          <w:sz w:val="24"/>
        </w:rPr>
        <w:object>
          <v:shape id="_x0000_i1029" o:spt="75" type="#_x0000_t75" style="height:22.1pt;width:329.75pt;" o:ole="t" filled="f" o:preferrelative="t" stroked="f" coordsize="21600,21600">
            <v:path/>
            <v:fill on="f" focussize="0,0"/>
            <v:stroke on="f" joinstyle="miter"/>
            <v:imagedata r:id="rId24" o:title=""/>
            <o:lock v:ext="edit" aspectratio="t"/>
            <w10:wrap type="none"/>
            <w10:anchorlock/>
          </v:shape>
          <o:OLEObject Type="Embed" ProgID="Equation.DSMT4" ShapeID="_x0000_i1029" DrawAspect="Content" ObjectID="_1468075729" r:id="rId23">
            <o:LockedField>false</o:LockedField>
          </o:OLEObject>
        </w:object>
      </w:r>
    </w:p>
    <w:p>
      <w:pPr>
        <w:spacing w:line="500" w:lineRule="exact"/>
        <w:ind w:firstLine="480" w:firstLineChars="200"/>
        <w:rPr>
          <w:rFonts w:ascii="宋体" w:hAnsi="宋体"/>
          <w:color w:val="auto"/>
          <w:sz w:val="24"/>
        </w:rPr>
      </w:pPr>
      <w:r>
        <w:rPr>
          <w:rFonts w:hint="eastAsia" w:ascii="宋体" w:hAnsi="宋体"/>
          <w:color w:val="auto"/>
          <w:sz w:val="24"/>
        </w:rPr>
        <w:t>《可行性研究报告》建议</w:t>
      </w:r>
      <w:r>
        <w:rPr>
          <w:rFonts w:ascii="宋体" w:hAnsi="宋体"/>
          <w:color w:val="auto"/>
          <w:sz w:val="24"/>
        </w:rPr>
        <w:t>矿山下游总排水沟设计为矩形断面，排水沟宽1.0m，深1</w:t>
      </w:r>
      <w:r>
        <w:rPr>
          <w:rFonts w:hint="eastAsia" w:ascii="宋体" w:hAnsi="宋体"/>
          <w:color w:val="auto"/>
          <w:sz w:val="24"/>
        </w:rPr>
        <w:t>.0</w:t>
      </w:r>
      <w:r>
        <w:rPr>
          <w:rFonts w:ascii="宋体" w:hAnsi="宋体"/>
          <w:color w:val="auto"/>
          <w:sz w:val="24"/>
        </w:rPr>
        <w:t>m。</w:t>
      </w:r>
    </w:p>
    <w:p>
      <w:pPr>
        <w:pStyle w:val="25"/>
        <w:widowControl/>
        <w:spacing w:line="500" w:lineRule="exact"/>
        <w:ind w:firstLine="480"/>
        <w:rPr>
          <w:color w:val="auto"/>
          <w:sz w:val="24"/>
        </w:rPr>
      </w:pPr>
      <w:r>
        <w:rPr>
          <w:color w:val="auto"/>
          <w:sz w:val="24"/>
        </w:rPr>
        <w:t>矿区内汇水泥沙含量较高，必需设置沉砂池进行水处理——主要是沉淀泥砂、澄清水质。根据环保要求，矿区废水排放指标应达到泥沙含量不大于500g/m³。</w:t>
      </w:r>
    </w:p>
    <w:p>
      <w:pPr>
        <w:pStyle w:val="25"/>
        <w:widowControl/>
        <w:spacing w:line="500" w:lineRule="exact"/>
        <w:ind w:firstLine="480"/>
        <w:rPr>
          <w:rFonts w:hint="eastAsia"/>
          <w:color w:val="auto"/>
          <w:sz w:val="24"/>
        </w:rPr>
      </w:pPr>
      <w:r>
        <w:rPr>
          <w:rFonts w:hint="eastAsia"/>
          <w:color w:val="auto"/>
          <w:sz w:val="24"/>
        </w:rPr>
        <w:t>建议下步安全设施设计计算拟设置的排水沟与当地最大涌水量是否匹配。</w:t>
      </w:r>
    </w:p>
    <w:p>
      <w:pPr>
        <w:widowControl/>
        <w:spacing w:line="500" w:lineRule="exact"/>
        <w:ind w:firstLine="480" w:firstLineChars="200"/>
        <w:rPr>
          <w:rFonts w:ascii="宋体" w:hAnsi="宋体"/>
          <w:color w:val="auto"/>
          <w:sz w:val="24"/>
        </w:rPr>
      </w:pPr>
      <w:r>
        <w:rPr>
          <w:rFonts w:hint="eastAsia" w:ascii="宋体" w:hAnsi="宋体"/>
          <w:color w:val="auto"/>
          <w:sz w:val="24"/>
        </w:rPr>
        <w:t>《可行性研究报告》拟在距离采场边界</w:t>
      </w:r>
      <w:r>
        <w:rPr>
          <w:rFonts w:ascii="宋体" w:hAnsi="宋体"/>
          <w:color w:val="auto"/>
          <w:sz w:val="24"/>
        </w:rPr>
        <w:t>5-10</w:t>
      </w:r>
      <w:r>
        <w:rPr>
          <w:rFonts w:hint="eastAsia" w:ascii="宋体" w:hAnsi="宋体"/>
          <w:color w:val="auto"/>
          <w:sz w:val="24"/>
        </w:rPr>
        <w:t>m挖掘截洪沟，建议企业与相关部门协商，完成征地工作。</w:t>
      </w:r>
    </w:p>
    <w:p>
      <w:pPr>
        <w:pStyle w:val="4"/>
        <w:keepLines w:val="0"/>
        <w:spacing w:before="120" w:after="120" w:line="500" w:lineRule="exact"/>
        <w:jc w:val="left"/>
        <w:rPr>
          <w:rFonts w:ascii="宋体" w:hAnsi="宋体" w:eastAsia="宋体"/>
          <w:b/>
          <w:bCs w:val="0"/>
          <w:color w:val="auto"/>
          <w:sz w:val="28"/>
          <w:szCs w:val="28"/>
        </w:rPr>
      </w:pPr>
      <w:bookmarkStart w:id="195" w:name="_Toc503172419"/>
      <w:bookmarkStart w:id="196" w:name="_Toc142758815"/>
      <w:bookmarkStart w:id="197" w:name="_Toc150262782"/>
      <w:bookmarkStart w:id="198" w:name="_Toc21511329"/>
      <w:r>
        <w:rPr>
          <w:rFonts w:hint="eastAsia" w:ascii="宋体" w:hAnsi="宋体" w:eastAsia="宋体"/>
          <w:b/>
          <w:bCs w:val="0"/>
          <w:color w:val="auto"/>
          <w:sz w:val="28"/>
          <w:szCs w:val="28"/>
        </w:rPr>
        <w:t>3.</w:t>
      </w:r>
      <w:r>
        <w:rPr>
          <w:rFonts w:ascii="宋体" w:hAnsi="宋体" w:eastAsia="宋体"/>
          <w:b/>
          <w:bCs w:val="0"/>
          <w:color w:val="auto"/>
          <w:sz w:val="28"/>
          <w:szCs w:val="28"/>
        </w:rPr>
        <w:t>8</w:t>
      </w:r>
      <w:r>
        <w:rPr>
          <w:rFonts w:hint="eastAsia" w:ascii="宋体" w:hAnsi="宋体" w:eastAsia="宋体"/>
          <w:b/>
          <w:bCs w:val="0"/>
          <w:color w:val="auto"/>
          <w:sz w:val="28"/>
          <w:szCs w:val="28"/>
        </w:rPr>
        <w:t>排土场单元评价</w:t>
      </w:r>
      <w:bookmarkEnd w:id="195"/>
      <w:bookmarkEnd w:id="196"/>
      <w:bookmarkEnd w:id="197"/>
    </w:p>
    <w:p>
      <w:pPr>
        <w:adjustRightInd w:val="0"/>
        <w:snapToGrid w:val="0"/>
        <w:spacing w:line="500" w:lineRule="exact"/>
        <w:ind w:firstLine="480" w:firstLineChars="200"/>
        <w:rPr>
          <w:rFonts w:ascii="宋体" w:hAnsi="宋体"/>
          <w:color w:val="auto"/>
          <w:sz w:val="24"/>
        </w:rPr>
      </w:pPr>
      <w:r>
        <w:rPr>
          <w:rFonts w:hint="eastAsia" w:ascii="宋体" w:hAnsi="宋体"/>
          <w:color w:val="auto"/>
          <w:sz w:val="24"/>
        </w:rPr>
        <w:t>1）对排土场单元采用预先危险性分析方法评价，详见表3</w:t>
      </w:r>
      <w:r>
        <w:rPr>
          <w:rFonts w:ascii="宋体" w:hAnsi="宋体"/>
          <w:color w:val="auto"/>
          <w:sz w:val="24"/>
        </w:rPr>
        <w:t>-8</w:t>
      </w:r>
      <w:r>
        <w:rPr>
          <w:rFonts w:hint="eastAsia" w:ascii="宋体" w:hAnsi="宋体"/>
          <w:color w:val="auto"/>
          <w:sz w:val="24"/>
        </w:rPr>
        <w:t>。</w:t>
      </w:r>
    </w:p>
    <w:p>
      <w:pPr>
        <w:rPr>
          <w:rFonts w:hint="eastAsia" w:ascii="宋体" w:hAnsi="宋体"/>
          <w:b/>
          <w:color w:val="auto"/>
          <w:sz w:val="24"/>
        </w:rPr>
      </w:pPr>
      <w:bookmarkStart w:id="199" w:name="_Hlk502915061"/>
      <w:r>
        <w:rPr>
          <w:rFonts w:hint="eastAsia" w:ascii="宋体" w:hAnsi="宋体"/>
          <w:b/>
          <w:color w:val="auto"/>
          <w:sz w:val="24"/>
        </w:rPr>
        <w:br w:type="page"/>
      </w:r>
    </w:p>
    <w:p>
      <w:pPr>
        <w:spacing w:line="500" w:lineRule="exact"/>
        <w:jc w:val="center"/>
        <w:outlineLvl w:val="4"/>
        <w:rPr>
          <w:rFonts w:ascii="宋体" w:hAnsi="宋体"/>
          <w:b/>
          <w:color w:val="auto"/>
          <w:sz w:val="24"/>
        </w:rPr>
      </w:pPr>
      <w:r>
        <w:rPr>
          <w:rFonts w:hint="eastAsia" w:ascii="宋体" w:hAnsi="宋体"/>
          <w:b/>
          <w:color w:val="auto"/>
          <w:sz w:val="24"/>
        </w:rPr>
        <w:t>表</w:t>
      </w:r>
      <w:r>
        <w:rPr>
          <w:rFonts w:ascii="宋体" w:hAnsi="宋体"/>
          <w:b/>
          <w:color w:val="auto"/>
          <w:sz w:val="24"/>
        </w:rPr>
        <w:t xml:space="preserve">3-8 </w:t>
      </w:r>
      <w:r>
        <w:rPr>
          <w:rFonts w:hint="eastAsia" w:ascii="宋体" w:hAnsi="宋体"/>
          <w:b/>
          <w:color w:val="auto"/>
          <w:sz w:val="24"/>
        </w:rPr>
        <w:t>排土场单元预先危险性分析表</w:t>
      </w:r>
    </w:p>
    <w:tbl>
      <w:tblPr>
        <w:tblStyle w:val="41"/>
        <w:tblW w:w="1429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1135"/>
        <w:gridCol w:w="907"/>
        <w:gridCol w:w="4823"/>
        <w:gridCol w:w="1077"/>
        <w:gridCol w:w="1077"/>
        <w:gridCol w:w="44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blHeader/>
          <w:jc w:val="center"/>
        </w:trPr>
        <w:tc>
          <w:tcPr>
            <w:tcW w:w="794" w:type="dxa"/>
            <w:vAlign w:val="center"/>
          </w:tcPr>
          <w:p>
            <w:pPr>
              <w:jc w:val="center"/>
              <w:rPr>
                <w:rFonts w:ascii="宋体" w:hAnsi="宋体"/>
                <w:b/>
                <w:color w:val="auto"/>
                <w:szCs w:val="21"/>
              </w:rPr>
            </w:pPr>
            <w:r>
              <w:rPr>
                <w:rFonts w:hint="eastAsia" w:ascii="宋体" w:hAnsi="宋体"/>
                <w:b/>
                <w:color w:val="auto"/>
                <w:szCs w:val="21"/>
              </w:rPr>
              <w:t>序号</w:t>
            </w:r>
          </w:p>
        </w:tc>
        <w:tc>
          <w:tcPr>
            <w:tcW w:w="1135" w:type="dxa"/>
            <w:vAlign w:val="center"/>
          </w:tcPr>
          <w:p>
            <w:pPr>
              <w:jc w:val="center"/>
              <w:rPr>
                <w:rFonts w:ascii="宋体" w:hAnsi="宋体"/>
                <w:b/>
                <w:color w:val="auto"/>
                <w:szCs w:val="21"/>
              </w:rPr>
            </w:pPr>
            <w:r>
              <w:rPr>
                <w:rFonts w:hint="eastAsia" w:ascii="宋体" w:hAnsi="宋体"/>
                <w:b/>
                <w:color w:val="auto"/>
                <w:szCs w:val="21"/>
              </w:rPr>
              <w:t>主要危险源位置</w:t>
            </w:r>
          </w:p>
        </w:tc>
        <w:tc>
          <w:tcPr>
            <w:tcW w:w="907" w:type="dxa"/>
            <w:vAlign w:val="center"/>
          </w:tcPr>
          <w:p>
            <w:pPr>
              <w:jc w:val="center"/>
              <w:rPr>
                <w:rFonts w:ascii="宋体" w:hAnsi="宋体"/>
                <w:b/>
                <w:color w:val="auto"/>
                <w:szCs w:val="21"/>
              </w:rPr>
            </w:pPr>
            <w:r>
              <w:rPr>
                <w:rFonts w:hint="eastAsia" w:ascii="宋体" w:hAnsi="宋体"/>
                <w:b/>
                <w:color w:val="auto"/>
                <w:szCs w:val="21"/>
              </w:rPr>
              <w:t>潜在事故类型</w:t>
            </w:r>
          </w:p>
        </w:tc>
        <w:tc>
          <w:tcPr>
            <w:tcW w:w="4823" w:type="dxa"/>
            <w:vAlign w:val="center"/>
          </w:tcPr>
          <w:p>
            <w:pPr>
              <w:jc w:val="center"/>
              <w:rPr>
                <w:rFonts w:ascii="宋体" w:hAnsi="宋体"/>
                <w:b/>
                <w:color w:val="auto"/>
                <w:szCs w:val="21"/>
              </w:rPr>
            </w:pPr>
            <w:r>
              <w:rPr>
                <w:rFonts w:hint="eastAsia" w:ascii="宋体" w:hAnsi="宋体"/>
                <w:b/>
                <w:color w:val="auto"/>
                <w:szCs w:val="21"/>
              </w:rPr>
              <w:t>触发条件</w:t>
            </w:r>
          </w:p>
        </w:tc>
        <w:tc>
          <w:tcPr>
            <w:tcW w:w="1077" w:type="dxa"/>
            <w:vAlign w:val="center"/>
          </w:tcPr>
          <w:p>
            <w:pPr>
              <w:jc w:val="center"/>
              <w:rPr>
                <w:rFonts w:ascii="宋体" w:hAnsi="宋体"/>
                <w:b/>
                <w:color w:val="auto"/>
                <w:szCs w:val="21"/>
              </w:rPr>
            </w:pPr>
            <w:r>
              <w:rPr>
                <w:rFonts w:hint="eastAsia" w:ascii="宋体" w:hAnsi="宋体"/>
                <w:b/>
                <w:color w:val="auto"/>
                <w:szCs w:val="21"/>
              </w:rPr>
              <w:t>可能导致的后果</w:t>
            </w:r>
          </w:p>
        </w:tc>
        <w:tc>
          <w:tcPr>
            <w:tcW w:w="1077" w:type="dxa"/>
            <w:vAlign w:val="center"/>
          </w:tcPr>
          <w:p>
            <w:pPr>
              <w:jc w:val="center"/>
              <w:rPr>
                <w:rFonts w:ascii="宋体" w:hAnsi="宋体"/>
                <w:b/>
                <w:color w:val="auto"/>
                <w:szCs w:val="21"/>
              </w:rPr>
            </w:pPr>
            <w:r>
              <w:rPr>
                <w:rFonts w:hint="eastAsia" w:ascii="宋体" w:hAnsi="宋体"/>
                <w:b/>
                <w:color w:val="auto"/>
                <w:szCs w:val="21"/>
              </w:rPr>
              <w:t>危险性等级</w:t>
            </w:r>
          </w:p>
        </w:tc>
        <w:tc>
          <w:tcPr>
            <w:tcW w:w="4483" w:type="dxa"/>
            <w:vAlign w:val="center"/>
          </w:tcPr>
          <w:p>
            <w:pPr>
              <w:jc w:val="center"/>
              <w:rPr>
                <w:rFonts w:ascii="宋体" w:hAnsi="宋体"/>
                <w:b/>
                <w:color w:val="auto"/>
                <w:szCs w:val="21"/>
              </w:rPr>
            </w:pPr>
            <w:r>
              <w:rPr>
                <w:rFonts w:hint="eastAsia" w:ascii="宋体" w:hAnsi="宋体"/>
                <w:b/>
                <w:color w:val="auto"/>
                <w:szCs w:val="21"/>
              </w:rPr>
              <w:t>防范措施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6" w:hRule="atLeast"/>
          <w:jc w:val="center"/>
        </w:trPr>
        <w:tc>
          <w:tcPr>
            <w:tcW w:w="794" w:type="dxa"/>
            <w:vAlign w:val="center"/>
          </w:tcPr>
          <w:p>
            <w:pPr>
              <w:jc w:val="center"/>
              <w:rPr>
                <w:rFonts w:ascii="宋体" w:hAnsi="宋体"/>
                <w:color w:val="auto"/>
                <w:szCs w:val="21"/>
              </w:rPr>
            </w:pPr>
            <w:r>
              <w:rPr>
                <w:rFonts w:hint="eastAsia" w:ascii="宋体" w:hAnsi="宋体"/>
                <w:color w:val="auto"/>
                <w:szCs w:val="21"/>
              </w:rPr>
              <w:t>1</w:t>
            </w:r>
          </w:p>
        </w:tc>
        <w:tc>
          <w:tcPr>
            <w:tcW w:w="1135" w:type="dxa"/>
            <w:vAlign w:val="center"/>
          </w:tcPr>
          <w:p>
            <w:pPr>
              <w:jc w:val="center"/>
              <w:rPr>
                <w:rFonts w:ascii="宋体" w:hAnsi="宋体"/>
                <w:color w:val="auto"/>
                <w:szCs w:val="21"/>
              </w:rPr>
            </w:pPr>
            <w:r>
              <w:rPr>
                <w:rFonts w:hint="eastAsia" w:ascii="宋体" w:hAnsi="宋体"/>
                <w:color w:val="auto"/>
                <w:szCs w:val="21"/>
              </w:rPr>
              <w:t>排土场边坡</w:t>
            </w:r>
          </w:p>
        </w:tc>
        <w:tc>
          <w:tcPr>
            <w:tcW w:w="907" w:type="dxa"/>
            <w:vAlign w:val="center"/>
          </w:tcPr>
          <w:p>
            <w:pPr>
              <w:jc w:val="center"/>
              <w:rPr>
                <w:rFonts w:ascii="宋体" w:hAnsi="宋体"/>
                <w:color w:val="auto"/>
                <w:szCs w:val="21"/>
              </w:rPr>
            </w:pPr>
            <w:r>
              <w:rPr>
                <w:rFonts w:hint="eastAsia" w:ascii="宋体" w:hAnsi="宋体"/>
                <w:color w:val="auto"/>
                <w:szCs w:val="21"/>
              </w:rPr>
              <w:t>坍塌、滑坡</w:t>
            </w:r>
          </w:p>
        </w:tc>
        <w:tc>
          <w:tcPr>
            <w:tcW w:w="4823" w:type="dxa"/>
            <w:vAlign w:val="center"/>
          </w:tcPr>
          <w:p>
            <w:pPr>
              <w:rPr>
                <w:rFonts w:ascii="宋体" w:hAnsi="宋体"/>
                <w:color w:val="auto"/>
                <w:szCs w:val="21"/>
              </w:rPr>
            </w:pPr>
            <w:r>
              <w:rPr>
                <w:rFonts w:hint="eastAsia" w:ascii="宋体" w:hAnsi="宋体"/>
                <w:color w:val="auto"/>
                <w:szCs w:val="21"/>
              </w:rPr>
              <w:t>（1）堆填过高。</w:t>
            </w:r>
          </w:p>
          <w:p>
            <w:pPr>
              <w:rPr>
                <w:rFonts w:ascii="宋体" w:hAnsi="宋体"/>
                <w:color w:val="auto"/>
                <w:szCs w:val="21"/>
              </w:rPr>
            </w:pPr>
            <w:r>
              <w:rPr>
                <w:rFonts w:hint="eastAsia" w:ascii="宋体" w:hAnsi="宋体"/>
                <w:color w:val="auto"/>
                <w:szCs w:val="21"/>
              </w:rPr>
              <w:t>（2）截排水设施不完善或缺失。</w:t>
            </w:r>
          </w:p>
          <w:p>
            <w:pPr>
              <w:rPr>
                <w:rFonts w:ascii="宋体" w:hAnsi="宋体"/>
                <w:color w:val="auto"/>
                <w:szCs w:val="21"/>
              </w:rPr>
            </w:pPr>
            <w:r>
              <w:rPr>
                <w:rFonts w:hint="eastAsia" w:ascii="宋体" w:hAnsi="宋体"/>
                <w:color w:val="auto"/>
                <w:szCs w:val="21"/>
              </w:rPr>
              <w:t>（3）作业参数设计缺陷。</w:t>
            </w:r>
          </w:p>
          <w:p>
            <w:pPr>
              <w:rPr>
                <w:rFonts w:ascii="宋体" w:hAnsi="宋体"/>
                <w:color w:val="auto"/>
                <w:szCs w:val="21"/>
              </w:rPr>
            </w:pPr>
            <w:r>
              <w:rPr>
                <w:rFonts w:hint="eastAsia" w:ascii="宋体" w:hAnsi="宋体"/>
                <w:color w:val="auto"/>
                <w:szCs w:val="21"/>
              </w:rPr>
              <w:t>（4）违章进行堆排作业。</w:t>
            </w:r>
          </w:p>
        </w:tc>
        <w:tc>
          <w:tcPr>
            <w:tcW w:w="1077" w:type="dxa"/>
            <w:vAlign w:val="center"/>
          </w:tcPr>
          <w:p>
            <w:pPr>
              <w:jc w:val="center"/>
              <w:rPr>
                <w:rFonts w:ascii="宋体" w:hAnsi="宋体"/>
                <w:color w:val="auto"/>
                <w:szCs w:val="21"/>
              </w:rPr>
            </w:pPr>
            <w:r>
              <w:rPr>
                <w:rFonts w:hint="eastAsia" w:ascii="宋体" w:hAnsi="宋体"/>
                <w:color w:val="auto"/>
                <w:szCs w:val="21"/>
              </w:rPr>
              <w:t>人员重大伤亡、设备损坏</w:t>
            </w:r>
          </w:p>
        </w:tc>
        <w:tc>
          <w:tcPr>
            <w:tcW w:w="1077" w:type="dxa"/>
            <w:vAlign w:val="center"/>
          </w:tcPr>
          <w:p>
            <w:pPr>
              <w:jc w:val="center"/>
              <w:rPr>
                <w:rFonts w:ascii="宋体" w:hAnsi="宋体"/>
                <w:color w:val="auto"/>
                <w:szCs w:val="21"/>
              </w:rPr>
            </w:pPr>
            <w:r>
              <w:rPr>
                <w:rFonts w:hint="eastAsia" w:ascii="宋体" w:hAnsi="宋体"/>
                <w:color w:val="auto"/>
                <w:szCs w:val="21"/>
              </w:rPr>
              <w:t>Ⅳ</w:t>
            </w:r>
          </w:p>
        </w:tc>
        <w:tc>
          <w:tcPr>
            <w:tcW w:w="4483" w:type="dxa"/>
            <w:vAlign w:val="center"/>
          </w:tcPr>
          <w:p>
            <w:pPr>
              <w:rPr>
                <w:rFonts w:ascii="宋体" w:hAnsi="宋体"/>
                <w:color w:val="auto"/>
                <w:szCs w:val="21"/>
              </w:rPr>
            </w:pPr>
            <w:r>
              <w:rPr>
                <w:rFonts w:hint="eastAsia" w:ascii="宋体" w:hAnsi="宋体"/>
                <w:color w:val="auto"/>
                <w:szCs w:val="21"/>
              </w:rPr>
              <w:t>（1）按设计参数堆排。</w:t>
            </w:r>
          </w:p>
          <w:p>
            <w:pPr>
              <w:rPr>
                <w:rFonts w:ascii="宋体" w:hAnsi="宋体"/>
                <w:color w:val="auto"/>
                <w:szCs w:val="21"/>
              </w:rPr>
            </w:pPr>
            <w:r>
              <w:rPr>
                <w:rFonts w:hint="eastAsia" w:ascii="宋体" w:hAnsi="宋体"/>
                <w:color w:val="auto"/>
                <w:szCs w:val="21"/>
              </w:rPr>
              <w:t>（2）按设计设置截排水设施。</w:t>
            </w:r>
          </w:p>
          <w:p>
            <w:pPr>
              <w:rPr>
                <w:rFonts w:ascii="宋体" w:hAnsi="宋体"/>
                <w:color w:val="auto"/>
                <w:szCs w:val="21"/>
              </w:rPr>
            </w:pPr>
            <w:r>
              <w:rPr>
                <w:rFonts w:hint="eastAsia" w:ascii="宋体" w:hAnsi="宋体"/>
                <w:color w:val="auto"/>
                <w:szCs w:val="21"/>
              </w:rPr>
              <w:t>（</w:t>
            </w:r>
            <w:r>
              <w:rPr>
                <w:rFonts w:ascii="宋体" w:hAnsi="宋体"/>
                <w:color w:val="auto"/>
                <w:szCs w:val="21"/>
              </w:rPr>
              <w:t>3</w:t>
            </w:r>
            <w:r>
              <w:rPr>
                <w:rFonts w:hint="eastAsia" w:ascii="宋体" w:hAnsi="宋体"/>
                <w:color w:val="auto"/>
                <w:szCs w:val="21"/>
              </w:rPr>
              <w:t>）由有资质的设计单位进行设计，并建立监测系统观察。</w:t>
            </w:r>
          </w:p>
          <w:p>
            <w:pPr>
              <w:rPr>
                <w:rFonts w:ascii="宋体" w:hAnsi="宋体"/>
                <w:color w:val="auto"/>
                <w:szCs w:val="21"/>
              </w:rPr>
            </w:pPr>
            <w:r>
              <w:rPr>
                <w:rFonts w:hint="eastAsia" w:ascii="宋体" w:hAnsi="宋体"/>
                <w:color w:val="auto"/>
                <w:szCs w:val="21"/>
              </w:rPr>
              <w:t xml:space="preserve">（4）按作业安全规程作业。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794" w:type="dxa"/>
            <w:vMerge w:val="restart"/>
            <w:vAlign w:val="center"/>
          </w:tcPr>
          <w:p>
            <w:pPr>
              <w:jc w:val="center"/>
              <w:rPr>
                <w:rFonts w:ascii="宋体" w:hAnsi="宋体"/>
                <w:color w:val="auto"/>
                <w:szCs w:val="21"/>
              </w:rPr>
            </w:pPr>
            <w:r>
              <w:rPr>
                <w:rFonts w:hint="eastAsia" w:ascii="宋体" w:hAnsi="宋体"/>
                <w:color w:val="auto"/>
                <w:szCs w:val="21"/>
              </w:rPr>
              <w:t>2</w:t>
            </w:r>
          </w:p>
        </w:tc>
        <w:tc>
          <w:tcPr>
            <w:tcW w:w="1135" w:type="dxa"/>
            <w:vMerge w:val="restart"/>
            <w:vAlign w:val="center"/>
          </w:tcPr>
          <w:p>
            <w:pPr>
              <w:jc w:val="center"/>
              <w:rPr>
                <w:rFonts w:ascii="宋体" w:hAnsi="宋体"/>
                <w:color w:val="auto"/>
                <w:szCs w:val="21"/>
              </w:rPr>
            </w:pPr>
            <w:r>
              <w:rPr>
                <w:rFonts w:hint="eastAsia" w:ascii="宋体" w:hAnsi="宋体"/>
                <w:color w:val="auto"/>
                <w:szCs w:val="21"/>
              </w:rPr>
              <w:t>作业面</w:t>
            </w:r>
          </w:p>
        </w:tc>
        <w:tc>
          <w:tcPr>
            <w:tcW w:w="907" w:type="dxa"/>
            <w:vAlign w:val="center"/>
          </w:tcPr>
          <w:p>
            <w:pPr>
              <w:jc w:val="center"/>
              <w:rPr>
                <w:rFonts w:ascii="宋体" w:hAnsi="宋体"/>
                <w:color w:val="auto"/>
                <w:szCs w:val="21"/>
              </w:rPr>
            </w:pPr>
            <w:r>
              <w:rPr>
                <w:rFonts w:hint="eastAsia" w:ascii="宋体" w:hAnsi="宋体"/>
                <w:color w:val="auto"/>
                <w:szCs w:val="21"/>
              </w:rPr>
              <w:t>车辆伤害</w:t>
            </w:r>
          </w:p>
        </w:tc>
        <w:tc>
          <w:tcPr>
            <w:tcW w:w="4823" w:type="dxa"/>
            <w:vAlign w:val="center"/>
          </w:tcPr>
          <w:p>
            <w:pPr>
              <w:rPr>
                <w:rFonts w:ascii="宋体" w:hAnsi="宋体"/>
                <w:color w:val="auto"/>
                <w:szCs w:val="21"/>
              </w:rPr>
            </w:pPr>
            <w:r>
              <w:rPr>
                <w:rFonts w:hint="eastAsia" w:ascii="宋体" w:hAnsi="宋体"/>
                <w:color w:val="auto"/>
                <w:szCs w:val="21"/>
              </w:rPr>
              <w:t>（1）误操作，堆排作业时过于接近边缘。</w:t>
            </w:r>
          </w:p>
          <w:p>
            <w:pPr>
              <w:rPr>
                <w:rFonts w:ascii="宋体" w:hAnsi="宋体"/>
                <w:color w:val="auto"/>
                <w:szCs w:val="21"/>
              </w:rPr>
            </w:pPr>
            <w:r>
              <w:rPr>
                <w:rFonts w:hint="eastAsia" w:ascii="宋体" w:hAnsi="宋体"/>
                <w:color w:val="auto"/>
                <w:szCs w:val="21"/>
              </w:rPr>
              <w:t>（2）无反坡、无安全堤、车速快</w:t>
            </w:r>
          </w:p>
          <w:p>
            <w:pPr>
              <w:rPr>
                <w:rFonts w:ascii="宋体" w:hAnsi="宋体"/>
                <w:color w:val="auto"/>
                <w:szCs w:val="21"/>
              </w:rPr>
            </w:pPr>
            <w:r>
              <w:rPr>
                <w:rFonts w:hint="eastAsia" w:ascii="宋体" w:hAnsi="宋体"/>
                <w:color w:val="auto"/>
                <w:szCs w:val="21"/>
              </w:rPr>
              <w:t>（3）无人指挥。</w:t>
            </w:r>
          </w:p>
        </w:tc>
        <w:tc>
          <w:tcPr>
            <w:tcW w:w="1077" w:type="dxa"/>
            <w:vAlign w:val="center"/>
          </w:tcPr>
          <w:p>
            <w:pPr>
              <w:jc w:val="center"/>
              <w:rPr>
                <w:rFonts w:ascii="宋体" w:hAnsi="宋体"/>
                <w:color w:val="auto"/>
                <w:szCs w:val="21"/>
              </w:rPr>
            </w:pPr>
            <w:r>
              <w:rPr>
                <w:rFonts w:hint="eastAsia" w:ascii="宋体" w:hAnsi="宋体"/>
                <w:color w:val="auto"/>
                <w:szCs w:val="21"/>
              </w:rPr>
              <w:t>人员伤亡、设备损坏</w:t>
            </w:r>
          </w:p>
        </w:tc>
        <w:tc>
          <w:tcPr>
            <w:tcW w:w="1077" w:type="dxa"/>
            <w:vAlign w:val="center"/>
          </w:tcPr>
          <w:p>
            <w:pPr>
              <w:jc w:val="center"/>
              <w:rPr>
                <w:rFonts w:ascii="宋体" w:hAnsi="宋体"/>
                <w:color w:val="auto"/>
                <w:szCs w:val="21"/>
              </w:rPr>
            </w:pPr>
            <w:r>
              <w:rPr>
                <w:rFonts w:hint="eastAsia" w:ascii="宋体" w:hAnsi="宋体"/>
                <w:color w:val="auto"/>
                <w:szCs w:val="21"/>
              </w:rPr>
              <w:t>Ⅲ</w:t>
            </w:r>
          </w:p>
        </w:tc>
        <w:tc>
          <w:tcPr>
            <w:tcW w:w="4483" w:type="dxa"/>
            <w:vAlign w:val="center"/>
          </w:tcPr>
          <w:p>
            <w:pPr>
              <w:rPr>
                <w:rFonts w:ascii="宋体" w:hAnsi="宋体"/>
                <w:color w:val="auto"/>
                <w:szCs w:val="21"/>
              </w:rPr>
            </w:pPr>
            <w:r>
              <w:rPr>
                <w:rFonts w:hint="eastAsia" w:ascii="宋体" w:hAnsi="宋体"/>
                <w:color w:val="auto"/>
                <w:szCs w:val="21"/>
              </w:rPr>
              <w:t>（1）设挡车堤。</w:t>
            </w:r>
          </w:p>
          <w:p>
            <w:pPr>
              <w:rPr>
                <w:rFonts w:ascii="宋体" w:hAnsi="宋体"/>
                <w:color w:val="auto"/>
                <w:szCs w:val="21"/>
              </w:rPr>
            </w:pPr>
            <w:r>
              <w:rPr>
                <w:rFonts w:hint="eastAsia" w:ascii="宋体" w:hAnsi="宋体"/>
                <w:color w:val="auto"/>
                <w:szCs w:val="21"/>
              </w:rPr>
              <w:t>（2）工作面设反坡。</w:t>
            </w:r>
          </w:p>
          <w:p>
            <w:pPr>
              <w:rPr>
                <w:rFonts w:ascii="宋体" w:hAnsi="宋体"/>
                <w:color w:val="auto"/>
                <w:szCs w:val="21"/>
              </w:rPr>
            </w:pPr>
            <w:r>
              <w:rPr>
                <w:rFonts w:hint="eastAsia" w:ascii="宋体" w:hAnsi="宋体"/>
                <w:color w:val="auto"/>
                <w:szCs w:val="21"/>
              </w:rPr>
              <w:t>（3）专人指挥。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794" w:type="dxa"/>
            <w:vMerge w:val="continue"/>
            <w:vAlign w:val="center"/>
          </w:tcPr>
          <w:p>
            <w:pPr>
              <w:jc w:val="center"/>
              <w:rPr>
                <w:rFonts w:ascii="宋体" w:hAnsi="宋体"/>
                <w:color w:val="auto"/>
                <w:szCs w:val="21"/>
              </w:rPr>
            </w:pPr>
          </w:p>
        </w:tc>
        <w:tc>
          <w:tcPr>
            <w:tcW w:w="1135" w:type="dxa"/>
            <w:vMerge w:val="continue"/>
            <w:vAlign w:val="center"/>
          </w:tcPr>
          <w:p>
            <w:pPr>
              <w:jc w:val="center"/>
              <w:rPr>
                <w:rFonts w:ascii="宋体" w:hAnsi="宋体"/>
                <w:color w:val="auto"/>
                <w:szCs w:val="21"/>
              </w:rPr>
            </w:pPr>
          </w:p>
        </w:tc>
        <w:tc>
          <w:tcPr>
            <w:tcW w:w="907" w:type="dxa"/>
            <w:vAlign w:val="center"/>
          </w:tcPr>
          <w:p>
            <w:pPr>
              <w:jc w:val="center"/>
              <w:rPr>
                <w:rFonts w:ascii="宋体" w:hAnsi="宋体"/>
                <w:color w:val="auto"/>
                <w:szCs w:val="21"/>
              </w:rPr>
            </w:pPr>
            <w:r>
              <w:rPr>
                <w:rFonts w:hint="eastAsia" w:ascii="宋体" w:hAnsi="宋体"/>
                <w:color w:val="auto"/>
                <w:szCs w:val="21"/>
              </w:rPr>
              <w:t>高处坠落</w:t>
            </w:r>
          </w:p>
        </w:tc>
        <w:tc>
          <w:tcPr>
            <w:tcW w:w="4823" w:type="dxa"/>
            <w:vAlign w:val="center"/>
          </w:tcPr>
          <w:p>
            <w:pPr>
              <w:rPr>
                <w:rFonts w:ascii="宋体" w:hAnsi="宋体"/>
                <w:color w:val="auto"/>
                <w:szCs w:val="21"/>
              </w:rPr>
            </w:pPr>
            <w:r>
              <w:rPr>
                <w:rFonts w:hint="eastAsia" w:ascii="宋体" w:hAnsi="宋体"/>
                <w:color w:val="auto"/>
                <w:szCs w:val="21"/>
              </w:rPr>
              <w:t>（1）人员违反现场管理规定。</w:t>
            </w:r>
          </w:p>
          <w:p>
            <w:pPr>
              <w:rPr>
                <w:rFonts w:ascii="宋体" w:hAnsi="宋体"/>
                <w:color w:val="auto"/>
                <w:szCs w:val="21"/>
              </w:rPr>
            </w:pPr>
            <w:r>
              <w:rPr>
                <w:rFonts w:hint="eastAsia" w:ascii="宋体" w:hAnsi="宋体"/>
                <w:color w:val="auto"/>
                <w:szCs w:val="21"/>
              </w:rPr>
              <w:t>（2）现场无人监督指挥。</w:t>
            </w:r>
          </w:p>
        </w:tc>
        <w:tc>
          <w:tcPr>
            <w:tcW w:w="1077" w:type="dxa"/>
            <w:vAlign w:val="center"/>
          </w:tcPr>
          <w:p>
            <w:pPr>
              <w:jc w:val="center"/>
              <w:rPr>
                <w:rFonts w:ascii="宋体" w:hAnsi="宋体"/>
                <w:color w:val="auto"/>
                <w:szCs w:val="21"/>
              </w:rPr>
            </w:pPr>
            <w:r>
              <w:rPr>
                <w:rFonts w:hint="eastAsia" w:ascii="宋体" w:hAnsi="宋体"/>
                <w:color w:val="auto"/>
                <w:szCs w:val="21"/>
              </w:rPr>
              <w:t>人员伤亡、设备损坏</w:t>
            </w:r>
          </w:p>
        </w:tc>
        <w:tc>
          <w:tcPr>
            <w:tcW w:w="1077" w:type="dxa"/>
            <w:vAlign w:val="center"/>
          </w:tcPr>
          <w:p>
            <w:pPr>
              <w:jc w:val="center"/>
              <w:rPr>
                <w:rFonts w:ascii="宋体" w:hAnsi="宋体"/>
                <w:color w:val="auto"/>
                <w:szCs w:val="21"/>
              </w:rPr>
            </w:pPr>
            <w:r>
              <w:rPr>
                <w:rFonts w:hint="eastAsia" w:ascii="宋体" w:hAnsi="宋体"/>
                <w:color w:val="auto"/>
                <w:szCs w:val="21"/>
              </w:rPr>
              <w:t>Ⅲ</w:t>
            </w:r>
          </w:p>
        </w:tc>
        <w:tc>
          <w:tcPr>
            <w:tcW w:w="4483" w:type="dxa"/>
            <w:vAlign w:val="center"/>
          </w:tcPr>
          <w:p>
            <w:pPr>
              <w:rPr>
                <w:rFonts w:ascii="宋体" w:hAnsi="宋体"/>
                <w:color w:val="auto"/>
                <w:szCs w:val="21"/>
              </w:rPr>
            </w:pPr>
            <w:r>
              <w:rPr>
                <w:rFonts w:hint="eastAsia" w:ascii="宋体" w:hAnsi="宋体"/>
                <w:color w:val="auto"/>
                <w:szCs w:val="21"/>
              </w:rPr>
              <w:t>（1）加强现场作业管理。</w:t>
            </w:r>
          </w:p>
          <w:p>
            <w:pPr>
              <w:rPr>
                <w:rFonts w:ascii="宋体" w:hAnsi="宋体"/>
                <w:color w:val="auto"/>
                <w:szCs w:val="21"/>
              </w:rPr>
            </w:pPr>
            <w:r>
              <w:rPr>
                <w:rFonts w:hint="eastAsia" w:ascii="宋体" w:hAnsi="宋体"/>
                <w:color w:val="auto"/>
                <w:szCs w:val="21"/>
              </w:rPr>
              <w:t>（2）作业时专人指挥。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trPr>
        <w:tc>
          <w:tcPr>
            <w:tcW w:w="794" w:type="dxa"/>
            <w:vMerge w:val="continue"/>
            <w:vAlign w:val="center"/>
          </w:tcPr>
          <w:p>
            <w:pPr>
              <w:jc w:val="center"/>
              <w:rPr>
                <w:rFonts w:ascii="宋体" w:hAnsi="宋体"/>
                <w:color w:val="auto"/>
                <w:szCs w:val="21"/>
              </w:rPr>
            </w:pPr>
          </w:p>
        </w:tc>
        <w:tc>
          <w:tcPr>
            <w:tcW w:w="1135" w:type="dxa"/>
            <w:vMerge w:val="continue"/>
            <w:vAlign w:val="center"/>
          </w:tcPr>
          <w:p>
            <w:pPr>
              <w:jc w:val="center"/>
              <w:rPr>
                <w:rFonts w:ascii="宋体" w:hAnsi="宋体"/>
                <w:color w:val="auto"/>
                <w:szCs w:val="21"/>
              </w:rPr>
            </w:pPr>
          </w:p>
        </w:tc>
        <w:tc>
          <w:tcPr>
            <w:tcW w:w="907" w:type="dxa"/>
            <w:vAlign w:val="center"/>
          </w:tcPr>
          <w:p>
            <w:pPr>
              <w:jc w:val="center"/>
              <w:rPr>
                <w:rFonts w:ascii="宋体" w:hAnsi="宋体"/>
                <w:color w:val="auto"/>
                <w:szCs w:val="21"/>
              </w:rPr>
            </w:pPr>
            <w:r>
              <w:rPr>
                <w:rFonts w:hint="eastAsia" w:ascii="宋体" w:hAnsi="宋体"/>
                <w:color w:val="auto"/>
                <w:szCs w:val="21"/>
              </w:rPr>
              <w:t>物体打击</w:t>
            </w:r>
          </w:p>
        </w:tc>
        <w:tc>
          <w:tcPr>
            <w:tcW w:w="4823" w:type="dxa"/>
            <w:vAlign w:val="center"/>
          </w:tcPr>
          <w:p>
            <w:pPr>
              <w:rPr>
                <w:rFonts w:ascii="宋体" w:hAnsi="宋体"/>
                <w:color w:val="auto"/>
                <w:szCs w:val="21"/>
              </w:rPr>
            </w:pPr>
            <w:r>
              <w:rPr>
                <w:rFonts w:hint="eastAsia" w:ascii="宋体" w:hAnsi="宋体"/>
                <w:color w:val="auto"/>
                <w:szCs w:val="21"/>
              </w:rPr>
              <w:t>边坡的浮石、危石未及时清理。</w:t>
            </w:r>
          </w:p>
        </w:tc>
        <w:tc>
          <w:tcPr>
            <w:tcW w:w="1077" w:type="dxa"/>
            <w:vAlign w:val="center"/>
          </w:tcPr>
          <w:p>
            <w:pPr>
              <w:jc w:val="center"/>
              <w:rPr>
                <w:rFonts w:ascii="宋体" w:hAnsi="宋体"/>
                <w:color w:val="auto"/>
                <w:szCs w:val="21"/>
              </w:rPr>
            </w:pPr>
            <w:r>
              <w:rPr>
                <w:rFonts w:hint="eastAsia" w:ascii="宋体" w:hAnsi="宋体"/>
                <w:color w:val="auto"/>
                <w:szCs w:val="21"/>
              </w:rPr>
              <w:t>人员伤亡</w:t>
            </w:r>
          </w:p>
        </w:tc>
        <w:tc>
          <w:tcPr>
            <w:tcW w:w="1077" w:type="dxa"/>
            <w:vAlign w:val="center"/>
          </w:tcPr>
          <w:p>
            <w:pPr>
              <w:jc w:val="center"/>
              <w:rPr>
                <w:rFonts w:ascii="宋体" w:hAnsi="宋体"/>
                <w:color w:val="auto"/>
                <w:szCs w:val="21"/>
              </w:rPr>
            </w:pPr>
            <w:r>
              <w:rPr>
                <w:rFonts w:hint="eastAsia" w:ascii="宋体" w:hAnsi="宋体"/>
                <w:color w:val="auto"/>
                <w:szCs w:val="21"/>
              </w:rPr>
              <w:t>Ⅲ</w:t>
            </w:r>
          </w:p>
        </w:tc>
        <w:tc>
          <w:tcPr>
            <w:tcW w:w="4483" w:type="dxa"/>
            <w:vAlign w:val="center"/>
          </w:tcPr>
          <w:p>
            <w:pPr>
              <w:rPr>
                <w:rFonts w:ascii="宋体" w:hAnsi="宋体"/>
                <w:color w:val="auto"/>
                <w:szCs w:val="21"/>
              </w:rPr>
            </w:pPr>
            <w:r>
              <w:rPr>
                <w:rFonts w:hint="eastAsia" w:ascii="宋体" w:hAnsi="宋体"/>
                <w:color w:val="auto"/>
                <w:szCs w:val="21"/>
              </w:rPr>
              <w:t>及时清理排土场边坡的浮石、危石。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5" w:hRule="atLeast"/>
          <w:jc w:val="center"/>
        </w:trPr>
        <w:tc>
          <w:tcPr>
            <w:tcW w:w="794" w:type="dxa"/>
            <w:vAlign w:val="center"/>
          </w:tcPr>
          <w:p>
            <w:pPr>
              <w:jc w:val="center"/>
              <w:rPr>
                <w:rFonts w:ascii="宋体" w:hAnsi="宋体"/>
                <w:color w:val="auto"/>
                <w:szCs w:val="21"/>
              </w:rPr>
            </w:pPr>
            <w:r>
              <w:rPr>
                <w:rFonts w:hint="eastAsia" w:ascii="宋体" w:hAnsi="宋体"/>
                <w:color w:val="auto"/>
                <w:szCs w:val="21"/>
              </w:rPr>
              <w:t>3</w:t>
            </w:r>
          </w:p>
        </w:tc>
        <w:tc>
          <w:tcPr>
            <w:tcW w:w="1135" w:type="dxa"/>
            <w:vAlign w:val="center"/>
          </w:tcPr>
          <w:p>
            <w:pPr>
              <w:jc w:val="center"/>
              <w:rPr>
                <w:rFonts w:ascii="宋体" w:hAnsi="宋体"/>
                <w:color w:val="auto"/>
                <w:szCs w:val="21"/>
              </w:rPr>
            </w:pPr>
            <w:r>
              <w:rPr>
                <w:rFonts w:hint="eastAsia" w:ascii="宋体" w:hAnsi="宋体"/>
                <w:color w:val="auto"/>
                <w:szCs w:val="21"/>
              </w:rPr>
              <w:t>排土场</w:t>
            </w:r>
          </w:p>
        </w:tc>
        <w:tc>
          <w:tcPr>
            <w:tcW w:w="907" w:type="dxa"/>
            <w:vAlign w:val="center"/>
          </w:tcPr>
          <w:p>
            <w:pPr>
              <w:jc w:val="center"/>
              <w:rPr>
                <w:rFonts w:ascii="宋体" w:hAnsi="宋体"/>
                <w:color w:val="auto"/>
                <w:szCs w:val="21"/>
              </w:rPr>
            </w:pPr>
            <w:r>
              <w:rPr>
                <w:rFonts w:hint="eastAsia" w:ascii="宋体" w:hAnsi="宋体"/>
                <w:color w:val="auto"/>
                <w:szCs w:val="21"/>
              </w:rPr>
              <w:t>淹溺</w:t>
            </w:r>
          </w:p>
        </w:tc>
        <w:tc>
          <w:tcPr>
            <w:tcW w:w="4823" w:type="dxa"/>
            <w:vAlign w:val="center"/>
          </w:tcPr>
          <w:p>
            <w:pPr>
              <w:rPr>
                <w:rFonts w:ascii="宋体" w:hAns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）违章作业或误操作。</w:t>
            </w:r>
          </w:p>
          <w:p>
            <w:pPr>
              <w:rPr>
                <w:rFonts w:ascii="宋体" w:hAns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）底部鱼塘周边无安全设施与安全警示标志。</w:t>
            </w:r>
          </w:p>
        </w:tc>
        <w:tc>
          <w:tcPr>
            <w:tcW w:w="1077" w:type="dxa"/>
            <w:vAlign w:val="center"/>
          </w:tcPr>
          <w:p>
            <w:pPr>
              <w:ind w:left="-67" w:leftChars="-32" w:right="-107" w:rightChars="-51"/>
              <w:jc w:val="center"/>
              <w:rPr>
                <w:rFonts w:ascii="宋体" w:hAnsi="宋体"/>
                <w:color w:val="auto"/>
                <w:szCs w:val="21"/>
              </w:rPr>
            </w:pPr>
            <w:r>
              <w:rPr>
                <w:rFonts w:hint="eastAsia" w:ascii="宋体" w:hAnsi="宋体"/>
                <w:color w:val="auto"/>
                <w:szCs w:val="21"/>
              </w:rPr>
              <w:t>人员伤亡</w:t>
            </w:r>
          </w:p>
          <w:p>
            <w:pPr>
              <w:jc w:val="center"/>
              <w:rPr>
                <w:rFonts w:ascii="宋体" w:hAnsi="宋体"/>
                <w:color w:val="auto"/>
                <w:szCs w:val="21"/>
              </w:rPr>
            </w:pPr>
            <w:r>
              <w:rPr>
                <w:rFonts w:hint="eastAsia" w:ascii="宋体" w:hAnsi="宋体"/>
                <w:color w:val="auto"/>
                <w:szCs w:val="21"/>
              </w:rPr>
              <w:t>财产损失</w:t>
            </w:r>
          </w:p>
        </w:tc>
        <w:tc>
          <w:tcPr>
            <w:tcW w:w="1077" w:type="dxa"/>
            <w:vAlign w:val="center"/>
          </w:tcPr>
          <w:p>
            <w:pPr>
              <w:jc w:val="center"/>
              <w:rPr>
                <w:rFonts w:ascii="宋体" w:hAnsi="宋体"/>
                <w:color w:val="auto"/>
                <w:szCs w:val="21"/>
              </w:rPr>
            </w:pPr>
            <w:r>
              <w:rPr>
                <w:rFonts w:hint="eastAsia" w:ascii="宋体" w:hAnsi="宋体"/>
                <w:color w:val="auto"/>
                <w:szCs w:val="21"/>
              </w:rPr>
              <w:t>Ⅲ</w:t>
            </w:r>
          </w:p>
        </w:tc>
        <w:tc>
          <w:tcPr>
            <w:tcW w:w="4483" w:type="dxa"/>
            <w:vAlign w:val="center"/>
          </w:tcPr>
          <w:p>
            <w:pPr>
              <w:autoSpaceDE w:val="0"/>
              <w:autoSpaceDN w:val="0"/>
              <w:rPr>
                <w:rFonts w:ascii="宋体" w:hAnsi="宋体"/>
                <w:color w:val="auto"/>
                <w:szCs w:val="21"/>
              </w:rPr>
            </w:pPr>
            <w:r>
              <w:rPr>
                <w:rFonts w:hint="eastAsia" w:ascii="宋体" w:hAnsi="宋体"/>
                <w:color w:val="auto"/>
                <w:szCs w:val="21"/>
              </w:rPr>
              <w:t>（</w:t>
            </w:r>
            <w:r>
              <w:rPr>
                <w:rFonts w:ascii="宋体" w:hAnsi="宋体"/>
                <w:color w:val="auto"/>
                <w:szCs w:val="21"/>
              </w:rPr>
              <w:t>1</w:t>
            </w:r>
            <w:r>
              <w:rPr>
                <w:rFonts w:hint="eastAsia" w:ascii="宋体" w:hAnsi="宋体"/>
                <w:color w:val="auto"/>
                <w:szCs w:val="21"/>
              </w:rPr>
              <w:t>）加强人员管理，杜绝违章作业和误操作；</w:t>
            </w:r>
          </w:p>
          <w:p>
            <w:pPr>
              <w:rPr>
                <w:rFonts w:ascii="宋体" w:hAnsi="宋体"/>
                <w:color w:val="auto"/>
                <w:szCs w:val="21"/>
              </w:rPr>
            </w:pPr>
            <w:r>
              <w:rPr>
                <w:rFonts w:hint="eastAsia" w:ascii="宋体" w:hAnsi="宋体"/>
                <w:color w:val="auto"/>
                <w:szCs w:val="21"/>
              </w:rPr>
              <w:t>（</w:t>
            </w:r>
            <w:r>
              <w:rPr>
                <w:rFonts w:ascii="宋体" w:hAnsi="宋体"/>
                <w:color w:val="auto"/>
                <w:szCs w:val="21"/>
              </w:rPr>
              <w:t>2</w:t>
            </w:r>
            <w:r>
              <w:rPr>
                <w:rFonts w:hint="eastAsia" w:ascii="宋体" w:hAnsi="宋体"/>
                <w:color w:val="auto"/>
                <w:szCs w:val="21"/>
              </w:rPr>
              <w:t>）底部鱼塘周边设安全设施与安全警示标志。</w:t>
            </w:r>
          </w:p>
        </w:tc>
      </w:tr>
      <w:bookmarkEnd w:id="199"/>
    </w:tbl>
    <w:p>
      <w:pPr>
        <w:rPr>
          <w:rFonts w:hint="eastAsia"/>
          <w:color w:val="auto"/>
          <w:sz w:val="24"/>
        </w:rPr>
      </w:pPr>
      <w:r>
        <w:rPr>
          <w:rFonts w:hint="eastAsia"/>
          <w:color w:val="auto"/>
          <w:sz w:val="24"/>
        </w:rPr>
        <w:br w:type="page"/>
      </w:r>
    </w:p>
    <w:p>
      <w:pPr>
        <w:pStyle w:val="25"/>
        <w:spacing w:line="500" w:lineRule="exact"/>
        <w:ind w:firstLine="480"/>
        <w:rPr>
          <w:color w:val="auto"/>
          <w:sz w:val="24"/>
        </w:rPr>
      </w:pPr>
      <w:r>
        <w:rPr>
          <w:rFonts w:hint="eastAsia"/>
          <w:color w:val="auto"/>
          <w:sz w:val="24"/>
        </w:rPr>
        <w:t>2）采用专家评议法对排土场评价</w:t>
      </w:r>
    </w:p>
    <w:p>
      <w:pPr>
        <w:pStyle w:val="25"/>
        <w:spacing w:line="500" w:lineRule="exact"/>
        <w:ind w:firstLine="480"/>
        <w:rPr>
          <w:color w:val="auto"/>
          <w:sz w:val="24"/>
        </w:rPr>
      </w:pPr>
      <w:r>
        <w:rPr>
          <w:rFonts w:hint="eastAsia"/>
          <w:color w:val="auto"/>
          <w:sz w:val="24"/>
        </w:rPr>
        <w:t>（1）选址</w:t>
      </w:r>
    </w:p>
    <w:p>
      <w:pPr>
        <w:pStyle w:val="25"/>
        <w:spacing w:line="500" w:lineRule="exact"/>
        <w:ind w:firstLine="480"/>
        <w:rPr>
          <w:color w:val="auto"/>
          <w:sz w:val="24"/>
        </w:rPr>
      </w:pPr>
      <w:r>
        <w:rPr>
          <w:rFonts w:hint="eastAsia"/>
          <w:color w:val="auto"/>
          <w:sz w:val="24"/>
        </w:rPr>
        <w:t>根据</w:t>
      </w:r>
      <w:r>
        <w:rPr>
          <w:color w:val="auto"/>
          <w:sz w:val="24"/>
        </w:rPr>
        <w:t>可行性研究报告，</w:t>
      </w:r>
      <w:r>
        <w:rPr>
          <w:rFonts w:hint="eastAsia"/>
          <w:color w:val="auto"/>
          <w:sz w:val="24"/>
        </w:rPr>
        <w:t>矿山现有排土场位于矿体外东面山窝。现场勘查时，矿山排土场已按原开发利用方案要求进行了建设，但无拦挡坝、截排水沟，排土场未复绿。</w:t>
      </w:r>
    </w:p>
    <w:p>
      <w:pPr>
        <w:pStyle w:val="25"/>
        <w:spacing w:line="500" w:lineRule="exact"/>
        <w:ind w:firstLine="480"/>
        <w:rPr>
          <w:color w:val="auto"/>
          <w:sz w:val="24"/>
        </w:rPr>
      </w:pPr>
      <w:r>
        <w:rPr>
          <w:rFonts w:hint="eastAsia"/>
          <w:color w:val="auto"/>
          <w:sz w:val="24"/>
        </w:rPr>
        <w:t>根据测量资料，排土场上部标高为+298m，下部标高为+256m，为山坡型排土场，一个排土台阶，台阶高度为42m。弃土量约为7.47万m³。排土场边坡现状较稳定</w:t>
      </w:r>
      <w:r>
        <w:rPr>
          <w:color w:val="auto"/>
          <w:sz w:val="24"/>
        </w:rPr>
        <w:t>。</w:t>
      </w:r>
    </w:p>
    <w:p>
      <w:pPr>
        <w:spacing w:line="500" w:lineRule="exact"/>
        <w:ind w:firstLine="480" w:firstLineChars="200"/>
        <w:rPr>
          <w:rFonts w:ascii="宋体" w:hAnsi="宋体"/>
          <w:color w:val="auto"/>
          <w:kern w:val="24"/>
          <w:sz w:val="24"/>
        </w:rPr>
      </w:pPr>
      <w:r>
        <w:rPr>
          <w:rFonts w:hint="eastAsia" w:ascii="宋体" w:hAnsi="宋体"/>
          <w:color w:val="auto"/>
          <w:kern w:val="24"/>
          <w:sz w:val="24"/>
        </w:rPr>
        <w:t>根据可行性研究报告，</w:t>
      </w:r>
      <w:r>
        <w:rPr>
          <w:rFonts w:hint="eastAsia" w:ascii="宋体" w:hAnsi="宋体"/>
          <w:color w:val="auto"/>
          <w:sz w:val="24"/>
        </w:rPr>
        <w:t>矿山前期已完成矿体剥离，剥离量为0。本次设计不再新增弃土量。设计对排土场按规程要求进行完善，在排土场下游建设拦挡坝、沉淀池，在排土场周边设置截排水沟，对坡面进行复绿。</w:t>
      </w:r>
    </w:p>
    <w:p>
      <w:pPr>
        <w:spacing w:line="500" w:lineRule="exact"/>
        <w:ind w:firstLine="480" w:firstLineChars="200"/>
        <w:rPr>
          <w:rFonts w:ascii="宋体" w:hAnsi="宋体"/>
          <w:color w:val="auto"/>
          <w:sz w:val="24"/>
        </w:rPr>
      </w:pPr>
      <w:r>
        <w:rPr>
          <w:rFonts w:ascii="宋体" w:hAnsi="宋体"/>
          <w:color w:val="auto"/>
          <w:sz w:val="24"/>
        </w:rPr>
        <w:t>2</w:t>
      </w:r>
      <w:r>
        <w:rPr>
          <w:rFonts w:hint="eastAsia" w:ascii="宋体" w:hAnsi="宋体"/>
          <w:color w:val="auto"/>
          <w:sz w:val="24"/>
        </w:rPr>
        <w:t>）建议下一步设计对排土场进行稳定性分析。</w:t>
      </w:r>
    </w:p>
    <w:p>
      <w:pPr>
        <w:spacing w:line="500" w:lineRule="exact"/>
        <w:ind w:firstLine="480" w:firstLineChars="200"/>
        <w:rPr>
          <w:rFonts w:ascii="宋体" w:hAnsi="宋体"/>
          <w:color w:val="auto"/>
          <w:sz w:val="24"/>
        </w:rPr>
      </w:pPr>
      <w:r>
        <w:rPr>
          <w:rFonts w:hint="eastAsia" w:ascii="宋体" w:hAnsi="宋体"/>
          <w:color w:val="auto"/>
          <w:sz w:val="24"/>
        </w:rPr>
        <w:t>3）该矿山不属于有色金属矿山，建议排土场排水根据《金属非金属矿山安全规程》的相关要求进行设计。</w:t>
      </w:r>
    </w:p>
    <w:p>
      <w:pPr>
        <w:pStyle w:val="4"/>
        <w:keepLines w:val="0"/>
        <w:widowControl/>
        <w:spacing w:before="120" w:after="120" w:line="500" w:lineRule="exact"/>
        <w:rPr>
          <w:rFonts w:ascii="宋体" w:hAnsi="宋体" w:eastAsia="宋体"/>
          <w:b/>
          <w:bCs w:val="0"/>
          <w:color w:val="auto"/>
          <w:kern w:val="28"/>
          <w:sz w:val="28"/>
          <w:szCs w:val="28"/>
        </w:rPr>
      </w:pPr>
      <w:bookmarkStart w:id="200" w:name="_Toc150262783"/>
      <w:r>
        <w:rPr>
          <w:rFonts w:hint="eastAsia" w:ascii="宋体" w:hAnsi="宋体" w:eastAsia="宋体"/>
          <w:b/>
          <w:bCs w:val="0"/>
          <w:color w:val="auto"/>
          <w:kern w:val="28"/>
          <w:sz w:val="28"/>
          <w:szCs w:val="28"/>
        </w:rPr>
        <w:t>3.</w:t>
      </w:r>
      <w:r>
        <w:rPr>
          <w:rFonts w:ascii="宋体" w:hAnsi="宋体" w:eastAsia="宋体"/>
          <w:b/>
          <w:bCs w:val="0"/>
          <w:color w:val="auto"/>
          <w:kern w:val="28"/>
          <w:sz w:val="28"/>
          <w:szCs w:val="28"/>
        </w:rPr>
        <w:t>9</w:t>
      </w:r>
      <w:r>
        <w:rPr>
          <w:rFonts w:hint="eastAsia" w:ascii="宋体" w:hAnsi="宋体" w:eastAsia="宋体"/>
          <w:b/>
          <w:bCs w:val="0"/>
          <w:color w:val="auto"/>
          <w:kern w:val="28"/>
          <w:sz w:val="28"/>
          <w:szCs w:val="28"/>
        </w:rPr>
        <w:t>安全管理及其他单元评价</w:t>
      </w:r>
      <w:bookmarkEnd w:id="198"/>
      <w:bookmarkEnd w:id="200"/>
    </w:p>
    <w:p>
      <w:pPr>
        <w:pStyle w:val="5"/>
        <w:keepLines w:val="0"/>
        <w:widowControl/>
        <w:spacing w:before="120" w:after="120" w:line="500" w:lineRule="exact"/>
        <w:rPr>
          <w:rFonts w:ascii="宋体" w:hAnsi="宋体"/>
          <w:color w:val="auto"/>
          <w:kern w:val="28"/>
          <w:sz w:val="28"/>
          <w:szCs w:val="28"/>
        </w:rPr>
      </w:pPr>
      <w:r>
        <w:rPr>
          <w:rFonts w:hint="eastAsia" w:ascii="宋体" w:hAnsi="宋体"/>
          <w:color w:val="auto"/>
          <w:kern w:val="28"/>
          <w:sz w:val="28"/>
          <w:szCs w:val="28"/>
        </w:rPr>
        <w:t>3</w:t>
      </w:r>
      <w:r>
        <w:rPr>
          <w:rFonts w:ascii="宋体" w:hAnsi="宋体"/>
          <w:color w:val="auto"/>
          <w:kern w:val="28"/>
          <w:sz w:val="28"/>
          <w:szCs w:val="28"/>
        </w:rPr>
        <w:t>.9.1</w:t>
      </w:r>
      <w:r>
        <w:rPr>
          <w:rFonts w:hint="eastAsia" w:ascii="宋体" w:hAnsi="宋体"/>
          <w:color w:val="auto"/>
          <w:kern w:val="28"/>
          <w:sz w:val="28"/>
          <w:szCs w:val="28"/>
        </w:rPr>
        <w:t>安全管理</w:t>
      </w:r>
    </w:p>
    <w:p>
      <w:pPr>
        <w:widowControl/>
        <w:spacing w:line="500" w:lineRule="exact"/>
        <w:ind w:firstLine="480" w:firstLineChars="200"/>
        <w:rPr>
          <w:rFonts w:ascii="宋体" w:hAnsi="宋体"/>
          <w:color w:val="auto"/>
          <w:sz w:val="24"/>
        </w:rPr>
      </w:pPr>
      <w:r>
        <w:rPr>
          <w:rFonts w:hint="eastAsia" w:ascii="宋体" w:hAnsi="宋体"/>
          <w:color w:val="auto"/>
          <w:sz w:val="24"/>
        </w:rPr>
        <w:t>该矿山为扩建矿山，但已停采多年，建议下步按相关法律法规建立相应的安全生产责任制、安全生产规章制度以及相应的操作规程，设置安全生产管理机构，并配备专职安全生产管理人员，聘请注册安全工程师。</w:t>
      </w:r>
    </w:p>
    <w:p>
      <w:pPr>
        <w:pStyle w:val="5"/>
        <w:keepLines w:val="0"/>
        <w:widowControl/>
        <w:spacing w:before="120" w:after="120" w:line="500" w:lineRule="exact"/>
        <w:rPr>
          <w:rFonts w:ascii="宋体" w:hAnsi="宋体"/>
          <w:color w:val="auto"/>
          <w:kern w:val="28"/>
          <w:sz w:val="28"/>
          <w:szCs w:val="28"/>
        </w:rPr>
      </w:pPr>
      <w:r>
        <w:rPr>
          <w:rFonts w:hint="eastAsia" w:ascii="宋体" w:hAnsi="宋体"/>
          <w:color w:val="auto"/>
          <w:kern w:val="28"/>
          <w:sz w:val="28"/>
          <w:szCs w:val="28"/>
        </w:rPr>
        <w:t>3.</w:t>
      </w:r>
      <w:r>
        <w:rPr>
          <w:rFonts w:ascii="宋体" w:hAnsi="宋体"/>
          <w:color w:val="auto"/>
          <w:kern w:val="28"/>
          <w:sz w:val="28"/>
          <w:szCs w:val="28"/>
        </w:rPr>
        <w:t>9.2</w:t>
      </w:r>
      <w:r>
        <w:rPr>
          <w:rFonts w:hint="eastAsia" w:ascii="宋体" w:hAnsi="宋体"/>
          <w:color w:val="auto"/>
          <w:kern w:val="28"/>
          <w:sz w:val="28"/>
          <w:szCs w:val="28"/>
        </w:rPr>
        <w:t>职业危害</w:t>
      </w:r>
      <w:r>
        <w:rPr>
          <w:rFonts w:ascii="宋体" w:hAnsi="宋体"/>
          <w:color w:val="auto"/>
          <w:kern w:val="28"/>
          <w:sz w:val="28"/>
          <w:szCs w:val="28"/>
        </w:rPr>
        <w:t>子</w:t>
      </w:r>
      <w:r>
        <w:rPr>
          <w:rFonts w:hint="eastAsia" w:ascii="宋体" w:hAnsi="宋体"/>
          <w:color w:val="auto"/>
          <w:kern w:val="28"/>
          <w:sz w:val="28"/>
          <w:szCs w:val="28"/>
        </w:rPr>
        <w:t>单元评价</w:t>
      </w:r>
    </w:p>
    <w:p>
      <w:pPr>
        <w:rPr>
          <w:rFonts w:hint="eastAsia" w:ascii="宋体" w:hAnsi="宋体"/>
          <w:b/>
          <w:color w:val="auto"/>
          <w:sz w:val="24"/>
        </w:rPr>
      </w:pPr>
      <w:r>
        <w:rPr>
          <w:rFonts w:hint="eastAsia" w:ascii="宋体" w:hAnsi="宋体"/>
          <w:b/>
          <w:color w:val="auto"/>
          <w:sz w:val="24"/>
        </w:rPr>
        <w:br w:type="page"/>
      </w:r>
    </w:p>
    <w:p>
      <w:pPr>
        <w:widowControl/>
        <w:spacing w:line="500" w:lineRule="exact"/>
        <w:jc w:val="center"/>
        <w:outlineLvl w:val="4"/>
        <w:rPr>
          <w:rFonts w:ascii="宋体" w:hAnsi="宋体"/>
          <w:b/>
          <w:color w:val="auto"/>
          <w:sz w:val="24"/>
        </w:rPr>
      </w:pPr>
      <w:r>
        <w:rPr>
          <w:rFonts w:hint="eastAsia" w:ascii="宋体" w:hAnsi="宋体"/>
          <w:b/>
          <w:color w:val="auto"/>
          <w:sz w:val="24"/>
        </w:rPr>
        <w:t>表</w:t>
      </w:r>
      <w:r>
        <w:rPr>
          <w:rFonts w:ascii="宋体" w:hAnsi="宋体"/>
          <w:b/>
          <w:color w:val="auto"/>
          <w:sz w:val="24"/>
        </w:rPr>
        <w:t>3</w:t>
      </w:r>
      <w:r>
        <w:rPr>
          <w:rFonts w:hint="eastAsia" w:ascii="宋体" w:hAnsi="宋体"/>
          <w:b/>
          <w:color w:val="auto"/>
          <w:sz w:val="24"/>
        </w:rPr>
        <w:t>-</w:t>
      </w:r>
      <w:r>
        <w:rPr>
          <w:rFonts w:ascii="宋体" w:hAnsi="宋体"/>
          <w:b/>
          <w:color w:val="auto"/>
          <w:sz w:val="24"/>
        </w:rPr>
        <w:t xml:space="preserve">9 </w:t>
      </w:r>
      <w:r>
        <w:rPr>
          <w:rFonts w:hint="eastAsia" w:ascii="宋体" w:hAnsi="宋体"/>
          <w:b/>
          <w:color w:val="auto"/>
          <w:sz w:val="24"/>
        </w:rPr>
        <w:t>职业危害</w:t>
      </w:r>
      <w:r>
        <w:rPr>
          <w:rFonts w:ascii="宋体" w:hAnsi="宋体"/>
          <w:b/>
          <w:color w:val="auto"/>
          <w:sz w:val="24"/>
        </w:rPr>
        <w:t>子</w:t>
      </w:r>
      <w:r>
        <w:rPr>
          <w:rFonts w:hint="eastAsia" w:ascii="宋体" w:hAnsi="宋体"/>
          <w:b/>
          <w:color w:val="auto"/>
          <w:sz w:val="24"/>
        </w:rPr>
        <w:t>预先危险性分析表</w:t>
      </w:r>
    </w:p>
    <w:tbl>
      <w:tblPr>
        <w:tblStyle w:val="41"/>
        <w:tblW w:w="14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94"/>
        <w:gridCol w:w="1134"/>
        <w:gridCol w:w="907"/>
        <w:gridCol w:w="4819"/>
        <w:gridCol w:w="1077"/>
        <w:gridCol w:w="1077"/>
        <w:gridCol w:w="44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blHeader/>
          <w:jc w:val="center"/>
        </w:trPr>
        <w:tc>
          <w:tcPr>
            <w:tcW w:w="794" w:type="dxa"/>
            <w:vAlign w:val="center"/>
          </w:tcPr>
          <w:p>
            <w:pPr>
              <w:widowControl/>
              <w:jc w:val="center"/>
              <w:rPr>
                <w:rFonts w:ascii="宋体" w:hAnsi="宋体"/>
                <w:b/>
                <w:color w:val="auto"/>
                <w:szCs w:val="21"/>
              </w:rPr>
            </w:pPr>
            <w:r>
              <w:rPr>
                <w:rFonts w:hint="eastAsia" w:ascii="宋体" w:hAnsi="宋体"/>
                <w:b/>
                <w:color w:val="auto"/>
                <w:szCs w:val="21"/>
              </w:rPr>
              <w:t>序号</w:t>
            </w:r>
          </w:p>
        </w:tc>
        <w:tc>
          <w:tcPr>
            <w:tcW w:w="1134" w:type="dxa"/>
            <w:vAlign w:val="center"/>
          </w:tcPr>
          <w:p>
            <w:pPr>
              <w:widowControl/>
              <w:jc w:val="center"/>
              <w:rPr>
                <w:rFonts w:ascii="宋体" w:hAnsi="宋体"/>
                <w:b/>
                <w:color w:val="auto"/>
                <w:szCs w:val="21"/>
              </w:rPr>
            </w:pPr>
            <w:r>
              <w:rPr>
                <w:rFonts w:hint="eastAsia" w:ascii="宋体" w:hAnsi="宋体"/>
                <w:b/>
                <w:color w:val="auto"/>
                <w:szCs w:val="21"/>
              </w:rPr>
              <w:t>主要危险源位置</w:t>
            </w:r>
          </w:p>
        </w:tc>
        <w:tc>
          <w:tcPr>
            <w:tcW w:w="907" w:type="dxa"/>
            <w:vAlign w:val="center"/>
          </w:tcPr>
          <w:p>
            <w:pPr>
              <w:widowControl/>
              <w:jc w:val="center"/>
              <w:rPr>
                <w:rFonts w:ascii="宋体" w:hAnsi="宋体"/>
                <w:b/>
                <w:color w:val="auto"/>
                <w:szCs w:val="21"/>
              </w:rPr>
            </w:pPr>
            <w:r>
              <w:rPr>
                <w:rFonts w:hint="eastAsia" w:ascii="宋体" w:hAnsi="宋体"/>
                <w:b/>
                <w:color w:val="auto"/>
                <w:szCs w:val="21"/>
              </w:rPr>
              <w:t>潜在事故类型</w:t>
            </w:r>
          </w:p>
        </w:tc>
        <w:tc>
          <w:tcPr>
            <w:tcW w:w="4819" w:type="dxa"/>
            <w:vAlign w:val="center"/>
          </w:tcPr>
          <w:p>
            <w:pPr>
              <w:widowControl/>
              <w:jc w:val="center"/>
              <w:rPr>
                <w:rFonts w:ascii="宋体" w:hAnsi="宋体"/>
                <w:b/>
                <w:color w:val="auto"/>
                <w:szCs w:val="21"/>
              </w:rPr>
            </w:pPr>
            <w:r>
              <w:rPr>
                <w:rFonts w:hint="eastAsia" w:ascii="宋体" w:hAnsi="宋体"/>
                <w:b/>
                <w:color w:val="auto"/>
                <w:szCs w:val="21"/>
              </w:rPr>
              <w:t>触发条件</w:t>
            </w:r>
          </w:p>
        </w:tc>
        <w:tc>
          <w:tcPr>
            <w:tcW w:w="1077" w:type="dxa"/>
            <w:vAlign w:val="center"/>
          </w:tcPr>
          <w:p>
            <w:pPr>
              <w:widowControl/>
              <w:jc w:val="center"/>
              <w:rPr>
                <w:rFonts w:ascii="宋体" w:hAnsi="宋体"/>
                <w:b/>
                <w:color w:val="auto"/>
                <w:szCs w:val="21"/>
              </w:rPr>
            </w:pPr>
            <w:r>
              <w:rPr>
                <w:rFonts w:hint="eastAsia" w:ascii="宋体" w:hAnsi="宋体"/>
                <w:b/>
                <w:color w:val="auto"/>
                <w:szCs w:val="21"/>
              </w:rPr>
              <w:t>可能导致的后果</w:t>
            </w:r>
          </w:p>
        </w:tc>
        <w:tc>
          <w:tcPr>
            <w:tcW w:w="1077" w:type="dxa"/>
            <w:vAlign w:val="center"/>
          </w:tcPr>
          <w:p>
            <w:pPr>
              <w:widowControl/>
              <w:jc w:val="center"/>
              <w:rPr>
                <w:rFonts w:ascii="宋体" w:hAnsi="宋体"/>
                <w:b/>
                <w:color w:val="auto"/>
                <w:szCs w:val="21"/>
              </w:rPr>
            </w:pPr>
            <w:r>
              <w:rPr>
                <w:rFonts w:hint="eastAsia" w:ascii="宋体" w:hAnsi="宋体"/>
                <w:b/>
                <w:color w:val="auto"/>
                <w:szCs w:val="21"/>
              </w:rPr>
              <w:t>危险性等级</w:t>
            </w:r>
          </w:p>
        </w:tc>
        <w:tc>
          <w:tcPr>
            <w:tcW w:w="4479" w:type="dxa"/>
            <w:vAlign w:val="center"/>
          </w:tcPr>
          <w:p>
            <w:pPr>
              <w:widowControl/>
              <w:jc w:val="center"/>
              <w:rPr>
                <w:rFonts w:ascii="宋体" w:hAnsi="宋体"/>
                <w:b/>
                <w:color w:val="auto"/>
                <w:szCs w:val="21"/>
              </w:rPr>
            </w:pPr>
            <w:r>
              <w:rPr>
                <w:rFonts w:hint="eastAsia" w:ascii="宋体" w:hAnsi="宋体"/>
                <w:b/>
                <w:color w:val="auto"/>
                <w:szCs w:val="21"/>
              </w:rPr>
              <w:t>防范措施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dxa"/>
            <w:vAlign w:val="center"/>
          </w:tcPr>
          <w:p>
            <w:pPr>
              <w:widowControl/>
              <w:jc w:val="center"/>
              <w:rPr>
                <w:rFonts w:ascii="宋体" w:hAnsi="宋体"/>
                <w:color w:val="auto"/>
                <w:szCs w:val="21"/>
              </w:rPr>
            </w:pPr>
            <w:r>
              <w:rPr>
                <w:rFonts w:hint="eastAsia" w:ascii="宋体" w:hAnsi="宋体"/>
                <w:color w:val="auto"/>
                <w:szCs w:val="21"/>
              </w:rPr>
              <w:t>1</w:t>
            </w:r>
          </w:p>
        </w:tc>
        <w:tc>
          <w:tcPr>
            <w:tcW w:w="1134" w:type="dxa"/>
            <w:vAlign w:val="center"/>
          </w:tcPr>
          <w:p>
            <w:pPr>
              <w:widowControl/>
              <w:jc w:val="center"/>
              <w:rPr>
                <w:rFonts w:ascii="宋体" w:hAnsi="宋体"/>
                <w:color w:val="auto"/>
                <w:szCs w:val="21"/>
              </w:rPr>
            </w:pPr>
            <w:r>
              <w:rPr>
                <w:rFonts w:hint="eastAsia" w:ascii="宋体" w:hAnsi="宋体"/>
                <w:color w:val="auto"/>
                <w:szCs w:val="21"/>
              </w:rPr>
              <w:t>采场、排土场、运输道路</w:t>
            </w:r>
          </w:p>
        </w:tc>
        <w:tc>
          <w:tcPr>
            <w:tcW w:w="907" w:type="dxa"/>
            <w:vAlign w:val="center"/>
          </w:tcPr>
          <w:p>
            <w:pPr>
              <w:widowControl/>
              <w:jc w:val="center"/>
              <w:rPr>
                <w:rFonts w:ascii="宋体" w:hAnsi="宋体"/>
                <w:color w:val="auto"/>
                <w:szCs w:val="21"/>
              </w:rPr>
            </w:pPr>
            <w:r>
              <w:rPr>
                <w:rFonts w:hint="eastAsia" w:ascii="宋体" w:hAnsi="宋体"/>
                <w:color w:val="auto"/>
                <w:szCs w:val="21"/>
              </w:rPr>
              <w:t>粉尘</w:t>
            </w:r>
          </w:p>
        </w:tc>
        <w:tc>
          <w:tcPr>
            <w:tcW w:w="4819" w:type="dxa"/>
            <w:vAlign w:val="center"/>
          </w:tcPr>
          <w:p>
            <w:pPr>
              <w:widowControl/>
              <w:rPr>
                <w:rFonts w:ascii="宋体" w:hAnsi="宋体"/>
                <w:color w:val="auto"/>
                <w:szCs w:val="21"/>
              </w:rPr>
            </w:pPr>
            <w:r>
              <w:rPr>
                <w:rFonts w:hint="eastAsia" w:ascii="宋体" w:hAnsi="宋体"/>
                <w:color w:val="auto"/>
                <w:szCs w:val="21"/>
              </w:rPr>
              <w:t>（1）从业人员吸入粉尘。</w:t>
            </w:r>
          </w:p>
          <w:p>
            <w:pPr>
              <w:widowControl/>
              <w:rPr>
                <w:rFonts w:ascii="宋体" w:hAnsi="宋体"/>
                <w:color w:val="auto"/>
                <w:szCs w:val="21"/>
              </w:rPr>
            </w:pPr>
            <w:r>
              <w:rPr>
                <w:rFonts w:hint="eastAsia" w:ascii="宋体" w:hAnsi="宋体"/>
                <w:color w:val="auto"/>
                <w:szCs w:val="21"/>
              </w:rPr>
              <w:t>（2）防尘设施不完善。</w:t>
            </w:r>
          </w:p>
          <w:p>
            <w:pPr>
              <w:widowControl/>
              <w:rPr>
                <w:rFonts w:ascii="宋体" w:hAnsi="宋体"/>
                <w:color w:val="auto"/>
                <w:szCs w:val="21"/>
              </w:rPr>
            </w:pPr>
            <w:r>
              <w:rPr>
                <w:rFonts w:hint="eastAsia" w:ascii="宋体" w:hAnsi="宋体"/>
                <w:color w:val="auto"/>
                <w:szCs w:val="21"/>
              </w:rPr>
              <w:t>（3）没有采取的个体防护措施或采取措施不当。</w:t>
            </w:r>
          </w:p>
        </w:tc>
        <w:tc>
          <w:tcPr>
            <w:tcW w:w="1077" w:type="dxa"/>
            <w:vAlign w:val="center"/>
          </w:tcPr>
          <w:p>
            <w:pPr>
              <w:widowControl/>
              <w:jc w:val="center"/>
              <w:rPr>
                <w:rFonts w:ascii="宋体" w:hAnsi="宋体"/>
                <w:color w:val="auto"/>
                <w:szCs w:val="21"/>
              </w:rPr>
            </w:pPr>
            <w:r>
              <w:rPr>
                <w:rFonts w:hint="eastAsia" w:ascii="宋体" w:hAnsi="宋体"/>
                <w:color w:val="auto"/>
                <w:szCs w:val="21"/>
              </w:rPr>
              <w:t>矽肺病</w:t>
            </w:r>
          </w:p>
        </w:tc>
        <w:tc>
          <w:tcPr>
            <w:tcW w:w="1077" w:type="dxa"/>
            <w:vAlign w:val="center"/>
          </w:tcPr>
          <w:p>
            <w:pPr>
              <w:widowControl/>
              <w:jc w:val="center"/>
              <w:rPr>
                <w:rFonts w:ascii="宋体" w:hAnsi="宋体"/>
                <w:color w:val="auto"/>
                <w:szCs w:val="21"/>
              </w:rPr>
            </w:pPr>
            <w:r>
              <w:rPr>
                <w:rFonts w:hint="eastAsia" w:ascii="宋体" w:hAnsi="宋体"/>
                <w:color w:val="auto"/>
                <w:szCs w:val="21"/>
              </w:rPr>
              <w:t>Ⅲ</w:t>
            </w:r>
          </w:p>
        </w:tc>
        <w:tc>
          <w:tcPr>
            <w:tcW w:w="4479" w:type="dxa"/>
            <w:vAlign w:val="center"/>
          </w:tcPr>
          <w:p>
            <w:pPr>
              <w:widowControl/>
              <w:rPr>
                <w:rFonts w:ascii="宋体" w:hAnsi="宋体"/>
                <w:color w:val="auto"/>
                <w:szCs w:val="21"/>
              </w:rPr>
            </w:pPr>
            <w:r>
              <w:rPr>
                <w:rFonts w:hint="eastAsia" w:ascii="宋体" w:hAnsi="宋体"/>
                <w:color w:val="auto"/>
                <w:szCs w:val="21"/>
              </w:rPr>
              <w:t>（1）利用洒水车对运输道路定期洒水降尘；铲装作业采取洒水降尘。</w:t>
            </w:r>
          </w:p>
          <w:p>
            <w:pPr>
              <w:widowControl/>
              <w:rPr>
                <w:rFonts w:ascii="宋体" w:hAnsi="宋体"/>
                <w:color w:val="auto"/>
                <w:szCs w:val="21"/>
              </w:rPr>
            </w:pPr>
            <w:r>
              <w:rPr>
                <w:rFonts w:hint="eastAsia" w:ascii="宋体" w:hAnsi="宋体"/>
                <w:color w:val="auto"/>
                <w:szCs w:val="21"/>
              </w:rPr>
              <w:t>（2）采取个体防护，按要求配发个体防护用品、从业人员必须正确佩戴个体防护用品。</w:t>
            </w:r>
          </w:p>
          <w:p>
            <w:pPr>
              <w:widowControl/>
              <w:rPr>
                <w:rFonts w:ascii="宋体" w:hAnsi="宋体"/>
                <w:color w:val="auto"/>
                <w:szCs w:val="21"/>
              </w:rPr>
            </w:pPr>
            <w:r>
              <w:rPr>
                <w:rFonts w:hint="eastAsia" w:ascii="宋体" w:hAnsi="宋体"/>
                <w:color w:val="auto"/>
                <w:szCs w:val="21"/>
              </w:rPr>
              <w:t>（3）加强现场安全管理及职业病宣传教育。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dxa"/>
            <w:vAlign w:val="center"/>
          </w:tcPr>
          <w:p>
            <w:pPr>
              <w:widowControl/>
              <w:jc w:val="center"/>
              <w:rPr>
                <w:rFonts w:ascii="宋体" w:hAnsi="宋体"/>
                <w:color w:val="auto"/>
                <w:szCs w:val="21"/>
              </w:rPr>
            </w:pPr>
            <w:r>
              <w:rPr>
                <w:rFonts w:ascii="宋体" w:hAnsi="宋体"/>
                <w:color w:val="auto"/>
                <w:szCs w:val="21"/>
              </w:rPr>
              <w:t>2</w:t>
            </w:r>
          </w:p>
        </w:tc>
        <w:tc>
          <w:tcPr>
            <w:tcW w:w="1134" w:type="dxa"/>
            <w:vAlign w:val="center"/>
          </w:tcPr>
          <w:p>
            <w:pPr>
              <w:widowControl/>
              <w:jc w:val="center"/>
              <w:rPr>
                <w:rFonts w:ascii="宋体" w:hAnsi="宋体"/>
                <w:color w:val="auto"/>
                <w:szCs w:val="21"/>
              </w:rPr>
            </w:pPr>
            <w:r>
              <w:rPr>
                <w:rFonts w:hint="eastAsia" w:ascii="宋体" w:hAnsi="宋体"/>
                <w:color w:val="auto"/>
                <w:szCs w:val="21"/>
              </w:rPr>
              <w:t>采场、排土场</w:t>
            </w:r>
          </w:p>
        </w:tc>
        <w:tc>
          <w:tcPr>
            <w:tcW w:w="907" w:type="dxa"/>
            <w:vAlign w:val="center"/>
          </w:tcPr>
          <w:p>
            <w:pPr>
              <w:widowControl/>
              <w:jc w:val="center"/>
              <w:rPr>
                <w:rFonts w:ascii="宋体" w:hAnsi="宋体"/>
                <w:color w:val="auto"/>
                <w:szCs w:val="21"/>
              </w:rPr>
            </w:pPr>
            <w:r>
              <w:rPr>
                <w:rFonts w:hint="eastAsia" w:ascii="宋体" w:hAnsi="宋体"/>
                <w:color w:val="auto"/>
                <w:szCs w:val="21"/>
              </w:rPr>
              <w:t>高温</w:t>
            </w:r>
          </w:p>
          <w:p>
            <w:pPr>
              <w:widowControl/>
              <w:jc w:val="center"/>
              <w:rPr>
                <w:rFonts w:ascii="宋体" w:hAnsi="宋体"/>
                <w:color w:val="auto"/>
                <w:szCs w:val="21"/>
              </w:rPr>
            </w:pPr>
            <w:r>
              <w:rPr>
                <w:rFonts w:hint="eastAsia" w:ascii="宋体" w:hAnsi="宋体"/>
                <w:color w:val="auto"/>
                <w:szCs w:val="21"/>
              </w:rPr>
              <w:t>中暑</w:t>
            </w:r>
          </w:p>
        </w:tc>
        <w:tc>
          <w:tcPr>
            <w:tcW w:w="4819" w:type="dxa"/>
            <w:vAlign w:val="center"/>
          </w:tcPr>
          <w:p>
            <w:pPr>
              <w:widowControl/>
              <w:rPr>
                <w:rFonts w:ascii="宋体" w:hAnsi="宋体"/>
                <w:color w:val="auto"/>
                <w:szCs w:val="21"/>
              </w:rPr>
            </w:pPr>
            <w:r>
              <w:rPr>
                <w:rFonts w:hint="eastAsia" w:ascii="宋体" w:hAnsi="宋体"/>
                <w:color w:val="auto"/>
                <w:szCs w:val="21"/>
              </w:rPr>
              <w:t>（1）夏季长期暴露在阳光下工作。</w:t>
            </w:r>
          </w:p>
          <w:p>
            <w:pPr>
              <w:widowControl/>
              <w:rPr>
                <w:rFonts w:ascii="宋体" w:hAnsi="宋体"/>
                <w:color w:val="auto"/>
                <w:szCs w:val="21"/>
              </w:rPr>
            </w:pPr>
            <w:r>
              <w:rPr>
                <w:rFonts w:hint="eastAsia" w:ascii="宋体" w:hAnsi="宋体"/>
                <w:color w:val="auto"/>
                <w:szCs w:val="21"/>
              </w:rPr>
              <w:t>（2）没有采取适当的防暑措施。</w:t>
            </w:r>
          </w:p>
        </w:tc>
        <w:tc>
          <w:tcPr>
            <w:tcW w:w="1077" w:type="dxa"/>
            <w:vAlign w:val="center"/>
          </w:tcPr>
          <w:p>
            <w:pPr>
              <w:widowControl/>
              <w:jc w:val="center"/>
              <w:rPr>
                <w:rFonts w:ascii="宋体" w:hAnsi="宋体"/>
                <w:color w:val="auto"/>
                <w:szCs w:val="21"/>
              </w:rPr>
            </w:pPr>
            <w:r>
              <w:rPr>
                <w:rFonts w:hint="eastAsia" w:ascii="宋体" w:hAnsi="宋体"/>
                <w:color w:val="auto"/>
                <w:szCs w:val="21"/>
              </w:rPr>
              <w:t>中暑</w:t>
            </w:r>
          </w:p>
        </w:tc>
        <w:tc>
          <w:tcPr>
            <w:tcW w:w="1077" w:type="dxa"/>
            <w:vAlign w:val="center"/>
          </w:tcPr>
          <w:p>
            <w:pPr>
              <w:widowControl/>
              <w:jc w:val="center"/>
              <w:rPr>
                <w:rFonts w:ascii="宋体" w:hAnsi="宋体"/>
                <w:color w:val="auto"/>
                <w:szCs w:val="21"/>
              </w:rPr>
            </w:pPr>
            <w:r>
              <w:rPr>
                <w:rFonts w:hint="eastAsia" w:ascii="宋体" w:hAnsi="宋体"/>
                <w:color w:val="auto"/>
                <w:szCs w:val="21"/>
              </w:rPr>
              <w:t>Ⅱ</w:t>
            </w:r>
          </w:p>
        </w:tc>
        <w:tc>
          <w:tcPr>
            <w:tcW w:w="4479" w:type="dxa"/>
            <w:vAlign w:val="center"/>
          </w:tcPr>
          <w:p>
            <w:pPr>
              <w:widowControl/>
              <w:rPr>
                <w:rFonts w:ascii="宋体" w:hAnsi="宋体"/>
                <w:color w:val="auto"/>
                <w:szCs w:val="21"/>
              </w:rPr>
            </w:pPr>
            <w:r>
              <w:rPr>
                <w:rFonts w:hint="eastAsia" w:ascii="宋体" w:hAnsi="宋体"/>
                <w:color w:val="auto"/>
                <w:szCs w:val="21"/>
              </w:rPr>
              <w:t>（1）适当的调整作业时间，尽量避开高温时段作业。</w:t>
            </w:r>
          </w:p>
          <w:p>
            <w:pPr>
              <w:widowControl/>
              <w:rPr>
                <w:rFonts w:ascii="宋体" w:hAnsi="宋体"/>
                <w:color w:val="auto"/>
                <w:szCs w:val="21"/>
              </w:rPr>
            </w:pPr>
            <w:r>
              <w:rPr>
                <w:rFonts w:hint="eastAsia" w:ascii="宋体" w:hAnsi="宋体"/>
                <w:color w:val="auto"/>
                <w:szCs w:val="21"/>
              </w:rPr>
              <w:t>（2）为工人供应避暑糖水，配备遮阳帽等用品。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dxa"/>
            <w:vAlign w:val="center"/>
          </w:tcPr>
          <w:p>
            <w:pPr>
              <w:widowControl/>
              <w:jc w:val="center"/>
              <w:rPr>
                <w:rFonts w:ascii="宋体" w:hAnsi="宋体"/>
                <w:color w:val="auto"/>
                <w:szCs w:val="21"/>
              </w:rPr>
            </w:pPr>
            <w:r>
              <w:rPr>
                <w:rFonts w:ascii="宋体" w:hAnsi="宋体"/>
                <w:color w:val="auto"/>
                <w:szCs w:val="21"/>
              </w:rPr>
              <w:t>3</w:t>
            </w:r>
          </w:p>
        </w:tc>
        <w:tc>
          <w:tcPr>
            <w:tcW w:w="1134" w:type="dxa"/>
            <w:vAlign w:val="center"/>
          </w:tcPr>
          <w:p>
            <w:pPr>
              <w:widowControl/>
              <w:jc w:val="center"/>
              <w:rPr>
                <w:rFonts w:ascii="宋体" w:hAnsi="宋体"/>
                <w:color w:val="auto"/>
                <w:szCs w:val="21"/>
              </w:rPr>
            </w:pPr>
            <w:r>
              <w:rPr>
                <w:rFonts w:hint="eastAsia" w:ascii="宋体" w:hAnsi="宋体"/>
                <w:color w:val="auto"/>
                <w:szCs w:val="21"/>
              </w:rPr>
              <w:t>采场、排土场、运输道路</w:t>
            </w:r>
          </w:p>
        </w:tc>
        <w:tc>
          <w:tcPr>
            <w:tcW w:w="907" w:type="dxa"/>
            <w:vAlign w:val="center"/>
          </w:tcPr>
          <w:p>
            <w:pPr>
              <w:widowControl/>
              <w:jc w:val="center"/>
              <w:rPr>
                <w:rFonts w:ascii="宋体" w:hAnsi="宋体"/>
                <w:color w:val="auto"/>
                <w:szCs w:val="21"/>
              </w:rPr>
            </w:pPr>
            <w:r>
              <w:rPr>
                <w:rFonts w:hint="eastAsia" w:ascii="宋体" w:hAnsi="宋体"/>
                <w:color w:val="auto"/>
                <w:szCs w:val="21"/>
              </w:rPr>
              <w:t>噪声</w:t>
            </w:r>
          </w:p>
          <w:p>
            <w:pPr>
              <w:widowControl/>
              <w:jc w:val="center"/>
              <w:rPr>
                <w:rFonts w:ascii="宋体" w:hAnsi="宋体"/>
                <w:color w:val="auto"/>
                <w:szCs w:val="21"/>
              </w:rPr>
            </w:pPr>
            <w:r>
              <w:rPr>
                <w:rFonts w:hint="eastAsia" w:ascii="宋体" w:hAnsi="宋体"/>
                <w:color w:val="auto"/>
                <w:szCs w:val="21"/>
              </w:rPr>
              <w:t>危害</w:t>
            </w:r>
          </w:p>
        </w:tc>
        <w:tc>
          <w:tcPr>
            <w:tcW w:w="4819" w:type="dxa"/>
            <w:vAlign w:val="center"/>
          </w:tcPr>
          <w:p>
            <w:pPr>
              <w:widowControl/>
              <w:rPr>
                <w:rFonts w:ascii="宋体" w:hAnsi="宋体"/>
                <w:color w:val="auto"/>
                <w:szCs w:val="21"/>
              </w:rPr>
            </w:pPr>
            <w:r>
              <w:rPr>
                <w:rFonts w:hint="eastAsia" w:ascii="宋体" w:hAnsi="宋体"/>
                <w:color w:val="auto"/>
                <w:szCs w:val="21"/>
              </w:rPr>
              <w:t>（1）挖掘机、运输汽车等没有没有定期保养、维护。</w:t>
            </w:r>
          </w:p>
          <w:p>
            <w:pPr>
              <w:widowControl/>
              <w:rPr>
                <w:rFonts w:ascii="宋体" w:hAnsi="宋体"/>
                <w:color w:val="auto"/>
                <w:szCs w:val="21"/>
              </w:rPr>
            </w:pPr>
            <w:r>
              <w:rPr>
                <w:rFonts w:hint="eastAsia" w:ascii="宋体" w:hAnsi="宋体"/>
                <w:color w:val="auto"/>
                <w:szCs w:val="21"/>
              </w:rPr>
              <w:t>（2）从业人员没有采取个体防护措施。</w:t>
            </w:r>
          </w:p>
        </w:tc>
        <w:tc>
          <w:tcPr>
            <w:tcW w:w="1077" w:type="dxa"/>
            <w:vAlign w:val="center"/>
          </w:tcPr>
          <w:p>
            <w:pPr>
              <w:widowControl/>
              <w:jc w:val="center"/>
              <w:rPr>
                <w:rFonts w:ascii="宋体" w:hAnsi="宋体"/>
                <w:color w:val="auto"/>
                <w:szCs w:val="21"/>
              </w:rPr>
            </w:pPr>
            <w:r>
              <w:rPr>
                <w:rFonts w:hint="eastAsia" w:ascii="宋体" w:hAnsi="宋体"/>
                <w:color w:val="auto"/>
                <w:szCs w:val="21"/>
              </w:rPr>
              <w:t>听力下降</w:t>
            </w:r>
          </w:p>
        </w:tc>
        <w:tc>
          <w:tcPr>
            <w:tcW w:w="1077" w:type="dxa"/>
            <w:vAlign w:val="center"/>
          </w:tcPr>
          <w:p>
            <w:pPr>
              <w:widowControl/>
              <w:jc w:val="center"/>
              <w:rPr>
                <w:rFonts w:ascii="宋体" w:hAnsi="宋体"/>
                <w:color w:val="auto"/>
                <w:szCs w:val="21"/>
              </w:rPr>
            </w:pPr>
            <w:r>
              <w:rPr>
                <w:rFonts w:hint="eastAsia" w:ascii="宋体" w:hAnsi="宋体"/>
                <w:color w:val="auto"/>
                <w:szCs w:val="21"/>
              </w:rPr>
              <w:t>Ⅱ</w:t>
            </w:r>
          </w:p>
        </w:tc>
        <w:tc>
          <w:tcPr>
            <w:tcW w:w="4479" w:type="dxa"/>
            <w:vAlign w:val="center"/>
          </w:tcPr>
          <w:p>
            <w:pPr>
              <w:widowControl/>
              <w:rPr>
                <w:rFonts w:ascii="宋体" w:hAnsi="宋体"/>
                <w:color w:val="auto"/>
                <w:szCs w:val="21"/>
              </w:rPr>
            </w:pPr>
            <w:r>
              <w:rPr>
                <w:rFonts w:hint="eastAsia" w:ascii="宋体" w:hAnsi="宋体"/>
                <w:color w:val="auto"/>
                <w:szCs w:val="21"/>
              </w:rPr>
              <w:t>（1）设备定时注油、保养。</w:t>
            </w:r>
          </w:p>
          <w:p>
            <w:pPr>
              <w:widowControl/>
              <w:rPr>
                <w:rFonts w:ascii="宋体" w:hAnsi="宋体"/>
                <w:color w:val="auto"/>
                <w:szCs w:val="21"/>
              </w:rPr>
            </w:pPr>
            <w:r>
              <w:rPr>
                <w:rFonts w:hint="eastAsia" w:ascii="宋体" w:hAnsi="宋体"/>
                <w:color w:val="auto"/>
                <w:szCs w:val="21"/>
              </w:rPr>
              <w:t>（2）为从业人员配备个体防护用品，并督促其正确使用。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dxa"/>
            <w:vAlign w:val="center"/>
          </w:tcPr>
          <w:p>
            <w:pPr>
              <w:widowControl/>
              <w:jc w:val="center"/>
              <w:rPr>
                <w:rFonts w:ascii="宋体" w:hAnsi="宋体"/>
                <w:color w:val="auto"/>
                <w:szCs w:val="21"/>
              </w:rPr>
            </w:pPr>
            <w:r>
              <w:rPr>
                <w:rFonts w:ascii="宋体" w:hAnsi="宋体"/>
                <w:color w:val="auto"/>
                <w:szCs w:val="21"/>
              </w:rPr>
              <w:t>4</w:t>
            </w:r>
          </w:p>
        </w:tc>
        <w:tc>
          <w:tcPr>
            <w:tcW w:w="1134" w:type="dxa"/>
            <w:vAlign w:val="center"/>
          </w:tcPr>
          <w:p>
            <w:pPr>
              <w:widowControl/>
              <w:jc w:val="center"/>
              <w:rPr>
                <w:rFonts w:ascii="宋体" w:hAnsi="宋体"/>
                <w:color w:val="auto"/>
                <w:szCs w:val="21"/>
              </w:rPr>
            </w:pPr>
            <w:r>
              <w:rPr>
                <w:rFonts w:hint="eastAsia" w:ascii="宋体" w:hAnsi="宋体"/>
                <w:color w:val="auto"/>
                <w:szCs w:val="21"/>
              </w:rPr>
              <w:t>采场</w:t>
            </w:r>
          </w:p>
        </w:tc>
        <w:tc>
          <w:tcPr>
            <w:tcW w:w="907" w:type="dxa"/>
            <w:vAlign w:val="center"/>
          </w:tcPr>
          <w:p>
            <w:pPr>
              <w:widowControl/>
              <w:jc w:val="center"/>
              <w:rPr>
                <w:rFonts w:ascii="宋体" w:hAnsi="宋体"/>
                <w:color w:val="auto"/>
                <w:szCs w:val="21"/>
              </w:rPr>
            </w:pPr>
            <w:r>
              <w:rPr>
                <w:rFonts w:hint="eastAsia" w:ascii="宋体" w:hAnsi="宋体"/>
                <w:color w:val="auto"/>
                <w:szCs w:val="21"/>
              </w:rPr>
              <w:t>振动</w:t>
            </w:r>
          </w:p>
          <w:p>
            <w:pPr>
              <w:widowControl/>
              <w:jc w:val="center"/>
              <w:rPr>
                <w:rFonts w:ascii="宋体" w:hAnsi="宋体"/>
                <w:color w:val="auto"/>
                <w:szCs w:val="21"/>
              </w:rPr>
            </w:pPr>
            <w:r>
              <w:rPr>
                <w:rFonts w:hint="eastAsia" w:ascii="宋体" w:hAnsi="宋体"/>
                <w:color w:val="auto"/>
                <w:szCs w:val="21"/>
              </w:rPr>
              <w:t>危害</w:t>
            </w:r>
          </w:p>
        </w:tc>
        <w:tc>
          <w:tcPr>
            <w:tcW w:w="4819" w:type="dxa"/>
            <w:vAlign w:val="center"/>
          </w:tcPr>
          <w:p>
            <w:pPr>
              <w:widowControl/>
              <w:rPr>
                <w:rFonts w:ascii="宋体" w:hAnsi="宋体"/>
                <w:color w:val="auto"/>
                <w:szCs w:val="21"/>
              </w:rPr>
            </w:pPr>
            <w:r>
              <w:rPr>
                <w:rFonts w:hint="eastAsia" w:ascii="宋体" w:hAnsi="宋体"/>
                <w:color w:val="auto"/>
                <w:szCs w:val="21"/>
              </w:rPr>
              <w:t>（1）长期在机械设备上工作。</w:t>
            </w:r>
          </w:p>
          <w:p>
            <w:pPr>
              <w:widowControl/>
              <w:rPr>
                <w:rFonts w:ascii="宋体" w:hAnsi="宋体"/>
                <w:color w:val="auto"/>
                <w:szCs w:val="21"/>
              </w:rPr>
            </w:pPr>
            <w:r>
              <w:rPr>
                <w:rFonts w:hint="eastAsia" w:ascii="宋体" w:hAnsi="宋体"/>
                <w:color w:val="auto"/>
                <w:szCs w:val="21"/>
              </w:rPr>
              <w:t>（2）设备采取的减振措施不恰当。</w:t>
            </w:r>
          </w:p>
          <w:p>
            <w:pPr>
              <w:widowControl/>
              <w:rPr>
                <w:rFonts w:ascii="宋体" w:hAnsi="宋体"/>
                <w:color w:val="auto"/>
                <w:szCs w:val="21"/>
              </w:rPr>
            </w:pPr>
            <w:r>
              <w:rPr>
                <w:rFonts w:hint="eastAsia" w:ascii="宋体" w:hAnsi="宋体"/>
                <w:color w:val="auto"/>
                <w:szCs w:val="21"/>
              </w:rPr>
              <w:t>（3）没有采取的个体防护措施。</w:t>
            </w:r>
          </w:p>
        </w:tc>
        <w:tc>
          <w:tcPr>
            <w:tcW w:w="1077" w:type="dxa"/>
            <w:vAlign w:val="center"/>
          </w:tcPr>
          <w:p>
            <w:pPr>
              <w:widowControl/>
              <w:jc w:val="center"/>
              <w:rPr>
                <w:rFonts w:ascii="宋体" w:hAnsi="宋体"/>
                <w:color w:val="auto"/>
                <w:szCs w:val="21"/>
              </w:rPr>
            </w:pPr>
            <w:r>
              <w:rPr>
                <w:rFonts w:hint="eastAsia" w:ascii="宋体" w:hAnsi="宋体"/>
                <w:color w:val="auto"/>
                <w:szCs w:val="21"/>
              </w:rPr>
              <w:t>人体机能下降</w:t>
            </w:r>
          </w:p>
        </w:tc>
        <w:tc>
          <w:tcPr>
            <w:tcW w:w="1077" w:type="dxa"/>
            <w:vAlign w:val="center"/>
          </w:tcPr>
          <w:p>
            <w:pPr>
              <w:widowControl/>
              <w:jc w:val="center"/>
              <w:rPr>
                <w:rFonts w:ascii="宋体" w:hAnsi="宋体"/>
                <w:color w:val="auto"/>
                <w:szCs w:val="21"/>
              </w:rPr>
            </w:pPr>
            <w:r>
              <w:rPr>
                <w:rFonts w:hint="eastAsia" w:ascii="宋体" w:hAnsi="宋体"/>
                <w:color w:val="auto"/>
                <w:szCs w:val="21"/>
              </w:rPr>
              <w:t>Ⅱ</w:t>
            </w:r>
          </w:p>
        </w:tc>
        <w:tc>
          <w:tcPr>
            <w:tcW w:w="4479" w:type="dxa"/>
            <w:vAlign w:val="center"/>
          </w:tcPr>
          <w:p>
            <w:pPr>
              <w:widowControl/>
              <w:rPr>
                <w:rFonts w:ascii="宋体" w:hAnsi="宋体"/>
                <w:color w:val="auto"/>
                <w:szCs w:val="21"/>
              </w:rPr>
            </w:pPr>
            <w:r>
              <w:rPr>
                <w:rFonts w:hint="eastAsia" w:ascii="宋体" w:hAnsi="宋体"/>
                <w:color w:val="auto"/>
                <w:szCs w:val="21"/>
              </w:rPr>
              <w:t>（1）调整从业人员的作业时限，合理安排时间。</w:t>
            </w:r>
          </w:p>
          <w:p>
            <w:pPr>
              <w:widowControl/>
              <w:rPr>
                <w:rFonts w:ascii="宋体" w:hAnsi="宋体"/>
                <w:color w:val="auto"/>
                <w:szCs w:val="21"/>
              </w:rPr>
            </w:pPr>
            <w:r>
              <w:rPr>
                <w:rFonts w:hint="eastAsia" w:ascii="宋体" w:hAnsi="宋体"/>
                <w:color w:val="auto"/>
                <w:szCs w:val="21"/>
              </w:rPr>
              <w:t>（2）在能够采取减振措施的设备上安装合格的减振装置。</w:t>
            </w:r>
          </w:p>
          <w:p>
            <w:pPr>
              <w:widowControl/>
              <w:rPr>
                <w:rFonts w:ascii="宋体" w:hAnsi="宋体"/>
                <w:color w:val="auto"/>
                <w:szCs w:val="21"/>
              </w:rPr>
            </w:pPr>
            <w:r>
              <w:rPr>
                <w:rFonts w:hint="eastAsia" w:ascii="宋体" w:hAnsi="宋体"/>
                <w:color w:val="auto"/>
                <w:szCs w:val="21"/>
              </w:rPr>
              <w:t>（3）加强个体防护。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794" w:type="dxa"/>
            <w:vAlign w:val="center"/>
          </w:tcPr>
          <w:p>
            <w:pPr>
              <w:widowControl/>
              <w:jc w:val="center"/>
              <w:rPr>
                <w:rFonts w:ascii="宋体" w:hAnsi="宋体"/>
                <w:color w:val="auto"/>
                <w:szCs w:val="21"/>
              </w:rPr>
            </w:pPr>
            <w:r>
              <w:rPr>
                <w:rFonts w:ascii="宋体" w:hAnsi="宋体"/>
                <w:color w:val="auto"/>
                <w:szCs w:val="21"/>
              </w:rPr>
              <w:t>5</w:t>
            </w:r>
          </w:p>
        </w:tc>
        <w:tc>
          <w:tcPr>
            <w:tcW w:w="1134" w:type="dxa"/>
            <w:vAlign w:val="center"/>
          </w:tcPr>
          <w:p>
            <w:pPr>
              <w:widowControl/>
              <w:jc w:val="center"/>
              <w:rPr>
                <w:rFonts w:ascii="宋体" w:hAnsi="宋体"/>
                <w:color w:val="auto"/>
                <w:szCs w:val="21"/>
              </w:rPr>
            </w:pPr>
            <w:r>
              <w:rPr>
                <w:rFonts w:hint="eastAsia" w:ascii="宋体" w:hAnsi="宋体"/>
                <w:color w:val="auto"/>
                <w:szCs w:val="21"/>
              </w:rPr>
              <w:t>采场、排土场</w:t>
            </w:r>
          </w:p>
        </w:tc>
        <w:tc>
          <w:tcPr>
            <w:tcW w:w="907" w:type="dxa"/>
            <w:vAlign w:val="center"/>
          </w:tcPr>
          <w:p>
            <w:pPr>
              <w:widowControl/>
              <w:jc w:val="center"/>
              <w:rPr>
                <w:rFonts w:ascii="宋体" w:hAnsi="宋体"/>
                <w:color w:val="auto"/>
                <w:szCs w:val="21"/>
              </w:rPr>
            </w:pPr>
            <w:r>
              <w:rPr>
                <w:rFonts w:hint="eastAsia" w:ascii="宋体" w:hAnsi="宋体"/>
                <w:color w:val="auto"/>
                <w:szCs w:val="21"/>
              </w:rPr>
              <w:t>辐射</w:t>
            </w:r>
          </w:p>
        </w:tc>
        <w:tc>
          <w:tcPr>
            <w:tcW w:w="4819" w:type="dxa"/>
            <w:vAlign w:val="center"/>
          </w:tcPr>
          <w:p>
            <w:pPr>
              <w:widowControl/>
              <w:rPr>
                <w:rFonts w:ascii="宋体" w:hAnsi="宋体"/>
                <w:color w:val="auto"/>
                <w:szCs w:val="21"/>
              </w:rPr>
            </w:pPr>
            <w:r>
              <w:rPr>
                <w:rFonts w:hint="eastAsia" w:ascii="宋体" w:hAnsi="宋体"/>
                <w:color w:val="auto"/>
                <w:szCs w:val="21"/>
              </w:rPr>
              <w:t>矿山未定期对矿石的放射性指标进行跟踪检测，并对作业人员进行定期健康检查，可能因放射性超标对作业人员的健康产生危害。</w:t>
            </w:r>
          </w:p>
        </w:tc>
        <w:tc>
          <w:tcPr>
            <w:tcW w:w="1077" w:type="dxa"/>
            <w:vAlign w:val="center"/>
          </w:tcPr>
          <w:p>
            <w:pPr>
              <w:widowControl/>
              <w:jc w:val="center"/>
              <w:rPr>
                <w:rFonts w:ascii="宋体" w:hAnsi="宋体"/>
                <w:color w:val="auto"/>
                <w:szCs w:val="21"/>
              </w:rPr>
            </w:pPr>
            <w:r>
              <w:rPr>
                <w:rFonts w:hint="eastAsia" w:ascii="宋体" w:hAnsi="宋体"/>
                <w:color w:val="auto"/>
                <w:szCs w:val="21"/>
              </w:rPr>
              <w:t>人体机能下降</w:t>
            </w:r>
          </w:p>
        </w:tc>
        <w:tc>
          <w:tcPr>
            <w:tcW w:w="1077" w:type="dxa"/>
            <w:vAlign w:val="center"/>
          </w:tcPr>
          <w:p>
            <w:pPr>
              <w:widowControl/>
              <w:jc w:val="center"/>
              <w:rPr>
                <w:rFonts w:ascii="宋体" w:hAnsi="宋体"/>
                <w:color w:val="auto"/>
                <w:szCs w:val="21"/>
              </w:rPr>
            </w:pPr>
            <w:r>
              <w:rPr>
                <w:rFonts w:hint="eastAsia" w:ascii="宋体" w:hAnsi="宋体"/>
                <w:color w:val="auto"/>
                <w:szCs w:val="21"/>
              </w:rPr>
              <w:t>Ⅱ</w:t>
            </w:r>
          </w:p>
        </w:tc>
        <w:tc>
          <w:tcPr>
            <w:tcW w:w="4479" w:type="dxa"/>
            <w:vAlign w:val="center"/>
          </w:tcPr>
          <w:p>
            <w:pPr>
              <w:widowControl/>
              <w:rPr>
                <w:rFonts w:ascii="宋体" w:hAnsi="宋体"/>
                <w:color w:val="auto"/>
                <w:szCs w:val="21"/>
              </w:rPr>
            </w:pPr>
            <w:r>
              <w:rPr>
                <w:rFonts w:hint="eastAsia" w:ascii="宋体" w:hAnsi="宋体"/>
                <w:color w:val="auto"/>
                <w:szCs w:val="21"/>
              </w:rPr>
              <w:t>（1）矿石定期进行放射性检测。</w:t>
            </w:r>
          </w:p>
          <w:p>
            <w:pPr>
              <w:widowControl/>
              <w:rPr>
                <w:rFonts w:ascii="宋体" w:hAnsi="宋体"/>
                <w:color w:val="auto"/>
                <w:szCs w:val="21"/>
              </w:rPr>
            </w:pPr>
            <w:r>
              <w:rPr>
                <w:rFonts w:hint="eastAsia" w:ascii="宋体" w:hAnsi="宋体"/>
                <w:color w:val="auto"/>
                <w:szCs w:val="21"/>
              </w:rPr>
              <w:t>（2）人员定期进行职业健康检查。</w:t>
            </w:r>
          </w:p>
        </w:tc>
      </w:tr>
    </w:tbl>
    <w:p>
      <w:pPr>
        <w:widowControl/>
        <w:spacing w:line="500" w:lineRule="exact"/>
        <w:ind w:firstLine="480" w:firstLineChars="200"/>
        <w:rPr>
          <w:rFonts w:ascii="宋体" w:hAnsi="宋体"/>
          <w:color w:val="auto"/>
          <w:sz w:val="24"/>
        </w:rPr>
      </w:pPr>
      <w:r>
        <w:rPr>
          <w:rFonts w:hint="eastAsia" w:ascii="宋体" w:hAnsi="宋体"/>
          <w:color w:val="auto"/>
          <w:sz w:val="24"/>
        </w:rPr>
        <w:t>评价结果：存在的危险有害因素为粉尘、</w:t>
      </w:r>
      <w:r>
        <w:rPr>
          <w:rFonts w:ascii="宋体" w:hAnsi="宋体"/>
          <w:color w:val="auto"/>
          <w:sz w:val="24"/>
        </w:rPr>
        <w:t>高温中暑、噪声</w:t>
      </w:r>
      <w:r>
        <w:rPr>
          <w:rFonts w:hint="eastAsia" w:ascii="宋体" w:hAnsi="宋体"/>
          <w:color w:val="auto"/>
          <w:sz w:val="24"/>
        </w:rPr>
        <w:t>、</w:t>
      </w:r>
      <w:r>
        <w:rPr>
          <w:rFonts w:ascii="宋体" w:hAnsi="宋体"/>
          <w:color w:val="auto"/>
          <w:sz w:val="24"/>
        </w:rPr>
        <w:t>振动、辐射</w:t>
      </w:r>
      <w:r>
        <w:rPr>
          <w:rFonts w:hint="eastAsia" w:ascii="宋体" w:hAnsi="宋体"/>
          <w:color w:val="auto"/>
          <w:sz w:val="24"/>
        </w:rPr>
        <w:t>。</w:t>
      </w:r>
    </w:p>
    <w:p>
      <w:pPr>
        <w:pStyle w:val="4"/>
        <w:keepLines w:val="0"/>
        <w:widowControl/>
        <w:spacing w:before="0" w:after="0" w:line="500" w:lineRule="exact"/>
        <w:ind w:firstLine="482" w:firstLineChars="200"/>
        <w:rPr>
          <w:rFonts w:ascii="宋体" w:hAnsi="宋体" w:eastAsia="宋体"/>
          <w:b/>
          <w:bCs w:val="0"/>
          <w:color w:val="auto"/>
          <w:sz w:val="24"/>
          <w:szCs w:val="24"/>
        </w:rPr>
        <w:sectPr>
          <w:pgSz w:w="16838" w:h="11906" w:orient="landscape"/>
          <w:pgMar w:top="1588" w:right="1134" w:bottom="1134" w:left="1418" w:header="851" w:footer="992" w:gutter="0"/>
          <w:pgBorders>
            <w:top w:val="none" w:sz="0" w:space="0"/>
            <w:left w:val="none" w:sz="0" w:space="0"/>
            <w:bottom w:val="none" w:sz="0" w:space="0"/>
            <w:right w:val="none" w:sz="0" w:space="0"/>
          </w:pgBorders>
          <w:pgNumType w:fmt="decimal"/>
          <w:cols w:space="720" w:num="1"/>
          <w:docGrid w:linePitch="312" w:charSpace="0"/>
        </w:sectPr>
      </w:pPr>
      <w:bookmarkStart w:id="201" w:name="_Toc155065793"/>
      <w:bookmarkStart w:id="202" w:name="_Toc194481380"/>
      <w:bookmarkStart w:id="203" w:name="_Toc163528818"/>
      <w:bookmarkStart w:id="204" w:name="_Toc145754565"/>
      <w:bookmarkStart w:id="205" w:name="_Toc162225859"/>
      <w:bookmarkStart w:id="206" w:name="_Toc193792490"/>
      <w:bookmarkStart w:id="207" w:name="_Toc155082405"/>
      <w:bookmarkStart w:id="208" w:name="_Toc154132227"/>
      <w:bookmarkStart w:id="209" w:name="_Toc162150589"/>
      <w:bookmarkStart w:id="210" w:name="_Toc194551672"/>
      <w:bookmarkStart w:id="211" w:name="_Toc155778377"/>
      <w:bookmarkStart w:id="212" w:name="_Toc193101166"/>
      <w:bookmarkStart w:id="213" w:name="_Toc190416542"/>
      <w:bookmarkStart w:id="214" w:name="_Toc188158301"/>
      <w:bookmarkStart w:id="215" w:name="_Toc185913964"/>
      <w:bookmarkStart w:id="216" w:name="_Toc189300026"/>
      <w:bookmarkStart w:id="217" w:name="_Toc193792599"/>
      <w:bookmarkStart w:id="218" w:name="_Toc193789400"/>
      <w:bookmarkStart w:id="219" w:name="_Toc154123484"/>
      <w:bookmarkStart w:id="220" w:name="_Toc152918222"/>
      <w:bookmarkStart w:id="221" w:name="_Toc233881412"/>
      <w:bookmarkStart w:id="222" w:name="_Toc182304515"/>
      <w:bookmarkStart w:id="223" w:name="_Toc154636119"/>
      <w:bookmarkStart w:id="224" w:name="_Toc155784053"/>
      <w:bookmarkStart w:id="225" w:name="_Toc188851075"/>
      <w:bookmarkStart w:id="226" w:name="_Toc189300173"/>
      <w:bookmarkStart w:id="227" w:name="_Toc155775535"/>
    </w:p>
    <w:bookmarkEnd w:id="178"/>
    <w:bookmarkEnd w:id="179"/>
    <w:bookmarkEnd w:id="18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p>
      <w:pPr>
        <w:pStyle w:val="4"/>
        <w:keepLines w:val="0"/>
        <w:widowControl/>
        <w:spacing w:before="120" w:after="120" w:line="500" w:lineRule="exact"/>
        <w:rPr>
          <w:rFonts w:ascii="宋体" w:hAnsi="宋体" w:eastAsia="宋体"/>
          <w:b/>
          <w:bCs w:val="0"/>
          <w:color w:val="auto"/>
          <w:kern w:val="28"/>
          <w:sz w:val="28"/>
          <w:szCs w:val="28"/>
        </w:rPr>
      </w:pPr>
      <w:bookmarkStart w:id="228" w:name="_Toc150262784"/>
      <w:bookmarkStart w:id="229" w:name="_Toc232693014"/>
      <w:bookmarkStart w:id="230" w:name="_Toc158167903"/>
      <w:bookmarkStart w:id="231" w:name="_Toc241824338"/>
      <w:bookmarkStart w:id="232" w:name="_Toc240347025"/>
      <w:bookmarkStart w:id="233" w:name="_Toc158168016"/>
      <w:bookmarkStart w:id="234" w:name="_Toc238813895"/>
      <w:bookmarkStart w:id="235" w:name="_Toc156811394"/>
      <w:bookmarkStart w:id="236" w:name="_Toc158168022"/>
      <w:bookmarkStart w:id="237" w:name="_Toc145998963"/>
      <w:bookmarkStart w:id="238" w:name="_Toc144558013"/>
      <w:bookmarkStart w:id="239" w:name="_Toc158167909"/>
      <w:bookmarkStart w:id="240" w:name="_Toc109632323"/>
      <w:bookmarkStart w:id="241" w:name="_Toc86656556"/>
      <w:bookmarkStart w:id="242" w:name="_Toc145746157"/>
      <w:bookmarkStart w:id="243" w:name="_Toc149559815"/>
      <w:bookmarkStart w:id="244" w:name="_Toc156811392"/>
      <w:bookmarkStart w:id="245" w:name="_Toc97627341"/>
      <w:bookmarkStart w:id="246" w:name="_Toc86656529"/>
      <w:r>
        <w:rPr>
          <w:rFonts w:hint="eastAsia" w:ascii="宋体" w:hAnsi="宋体" w:eastAsia="宋体"/>
          <w:b/>
          <w:bCs w:val="0"/>
          <w:color w:val="auto"/>
          <w:kern w:val="28"/>
          <w:sz w:val="28"/>
          <w:szCs w:val="28"/>
        </w:rPr>
        <w:t>3.</w:t>
      </w:r>
      <w:r>
        <w:rPr>
          <w:rFonts w:ascii="宋体" w:hAnsi="宋体" w:eastAsia="宋体"/>
          <w:b/>
          <w:bCs w:val="0"/>
          <w:color w:val="auto"/>
          <w:kern w:val="28"/>
          <w:sz w:val="28"/>
          <w:szCs w:val="28"/>
        </w:rPr>
        <w:t>10</w:t>
      </w:r>
      <w:r>
        <w:rPr>
          <w:rFonts w:hint="eastAsia" w:ascii="宋体" w:hAnsi="宋体" w:eastAsia="宋体"/>
          <w:b/>
          <w:bCs w:val="0"/>
          <w:color w:val="auto"/>
          <w:kern w:val="28"/>
          <w:sz w:val="28"/>
          <w:szCs w:val="28"/>
        </w:rPr>
        <w:t>重大危险源辨识</w:t>
      </w:r>
      <w:bookmarkEnd w:id="228"/>
    </w:p>
    <w:p>
      <w:pPr>
        <w:widowControl/>
        <w:tabs>
          <w:tab w:val="left" w:pos="900"/>
          <w:tab w:val="left" w:pos="1125"/>
          <w:tab w:val="left" w:pos="1440"/>
        </w:tabs>
        <w:spacing w:line="500" w:lineRule="exact"/>
        <w:ind w:firstLine="480" w:firstLineChars="200"/>
        <w:rPr>
          <w:rFonts w:ascii="宋体" w:hAnsi="宋体"/>
          <w:b/>
          <w:color w:val="auto"/>
          <w:sz w:val="24"/>
        </w:rPr>
      </w:pPr>
      <w:r>
        <w:rPr>
          <w:rFonts w:hint="eastAsia" w:ascii="宋体" w:hAnsi="宋体" w:cs="宋体"/>
          <w:color w:val="auto"/>
          <w:kern w:val="24"/>
          <w:sz w:val="24"/>
        </w:rPr>
        <w:t>根据《可行性研究报告》，军营高岭土矿分公司现场在办公生活区旁设置1</w:t>
      </w:r>
      <w:r>
        <w:rPr>
          <w:rFonts w:ascii="宋体" w:hAnsi="宋体" w:cs="宋体"/>
          <w:color w:val="auto"/>
          <w:kern w:val="24"/>
          <w:sz w:val="24"/>
        </w:rPr>
        <w:t>0</w:t>
      </w:r>
      <w:r>
        <w:rPr>
          <w:rFonts w:hint="eastAsia" w:ascii="宋体" w:hAnsi="宋体" w:cs="宋体"/>
          <w:color w:val="auto"/>
          <w:kern w:val="24"/>
          <w:sz w:val="24"/>
        </w:rPr>
        <w:t>t柴油罐，柴油临界量为5</w:t>
      </w:r>
      <w:r>
        <w:rPr>
          <w:rFonts w:ascii="宋体" w:hAnsi="宋体" w:cs="宋体"/>
          <w:color w:val="auto"/>
          <w:kern w:val="24"/>
          <w:sz w:val="24"/>
        </w:rPr>
        <w:t>000</w:t>
      </w:r>
      <w:r>
        <w:rPr>
          <w:rFonts w:hint="eastAsia" w:ascii="宋体" w:hAnsi="宋体" w:cs="宋体"/>
          <w:color w:val="auto"/>
          <w:kern w:val="24"/>
          <w:sz w:val="24"/>
        </w:rPr>
        <w:t>t，不构成重大危险源；军营高岭土矿分公司属于采矿业，依据《危险化学品重大危险源辨识》（GB18218－2018）1范围：该标准不适用于采矿业，且该矿山不涉及危险化学品的加工工艺及储存活动，因此，该矿山不构成重大危险源。</w:t>
      </w:r>
    </w:p>
    <w:p>
      <w:pPr>
        <w:pStyle w:val="4"/>
        <w:keepLines w:val="0"/>
        <w:widowControl/>
        <w:spacing w:before="120" w:after="120" w:line="500" w:lineRule="exact"/>
        <w:rPr>
          <w:rFonts w:ascii="宋体" w:hAnsi="宋体" w:eastAsia="宋体"/>
          <w:b/>
          <w:bCs w:val="0"/>
          <w:color w:val="auto"/>
          <w:kern w:val="28"/>
          <w:sz w:val="28"/>
          <w:szCs w:val="28"/>
        </w:rPr>
      </w:pPr>
      <w:bookmarkStart w:id="247" w:name="_Toc150262785"/>
      <w:r>
        <w:rPr>
          <w:rFonts w:hint="eastAsia" w:ascii="宋体" w:hAnsi="宋体" w:eastAsia="宋体"/>
          <w:b/>
          <w:bCs w:val="0"/>
          <w:color w:val="auto"/>
          <w:kern w:val="28"/>
          <w:sz w:val="28"/>
          <w:szCs w:val="28"/>
        </w:rPr>
        <w:t>3.</w:t>
      </w:r>
      <w:r>
        <w:rPr>
          <w:rFonts w:ascii="宋体" w:hAnsi="宋体" w:eastAsia="宋体"/>
          <w:b/>
          <w:bCs w:val="0"/>
          <w:color w:val="auto"/>
          <w:kern w:val="28"/>
          <w:sz w:val="28"/>
          <w:szCs w:val="28"/>
        </w:rPr>
        <w:t>11</w:t>
      </w:r>
      <w:r>
        <w:rPr>
          <w:rFonts w:hint="eastAsia" w:ascii="宋体" w:hAnsi="宋体" w:eastAsia="宋体"/>
          <w:b/>
          <w:bCs w:val="0"/>
          <w:color w:val="auto"/>
          <w:kern w:val="28"/>
          <w:sz w:val="28"/>
          <w:szCs w:val="28"/>
        </w:rPr>
        <w:t>小结</w:t>
      </w:r>
      <w:bookmarkEnd w:id="229"/>
      <w:bookmarkEnd w:id="230"/>
      <w:bookmarkEnd w:id="231"/>
      <w:bookmarkEnd w:id="232"/>
      <w:bookmarkEnd w:id="233"/>
      <w:bookmarkEnd w:id="234"/>
      <w:bookmarkEnd w:id="247"/>
    </w:p>
    <w:p>
      <w:pPr>
        <w:widowControl/>
        <w:spacing w:line="500" w:lineRule="exact"/>
        <w:ind w:firstLine="480" w:firstLineChars="200"/>
        <w:rPr>
          <w:rFonts w:ascii="宋体" w:hAnsi="宋体"/>
          <w:color w:val="auto"/>
          <w:sz w:val="24"/>
        </w:rPr>
      </w:pPr>
      <w:r>
        <w:rPr>
          <w:rFonts w:ascii="宋体" w:hAnsi="宋体"/>
          <w:color w:val="auto"/>
          <w:sz w:val="24"/>
        </w:rPr>
        <w:t>本章通过对</w:t>
      </w:r>
      <w:r>
        <w:rPr>
          <w:rFonts w:hint="eastAsia" w:ascii="宋体" w:hAnsi="宋体"/>
          <w:color w:val="auto"/>
          <w:sz w:val="24"/>
        </w:rPr>
        <w:t>各个</w:t>
      </w:r>
      <w:r>
        <w:rPr>
          <w:rFonts w:ascii="宋体" w:hAnsi="宋体"/>
          <w:color w:val="auto"/>
          <w:sz w:val="24"/>
        </w:rPr>
        <w:t>评价单元运用安全检查表、预先危险性分析分析评价方法，在识别危险、有害因素的基础上，对各个系统存在的危险、有害因素进行了分析评价。现按照评价方法分类归纳小结：</w:t>
      </w:r>
    </w:p>
    <w:p>
      <w:pPr>
        <w:widowControl/>
        <w:spacing w:line="500" w:lineRule="exact"/>
        <w:ind w:firstLine="480" w:firstLineChars="200"/>
        <w:rPr>
          <w:rFonts w:ascii="宋体" w:hAnsi="宋体"/>
          <w:color w:val="auto"/>
          <w:sz w:val="24"/>
        </w:rPr>
      </w:pPr>
      <w:r>
        <w:rPr>
          <w:rFonts w:hint="eastAsia" w:ascii="宋体" w:hAnsi="宋体"/>
          <w:color w:val="auto"/>
          <w:sz w:val="24"/>
        </w:rPr>
        <w:t>1）采用安全检查表法，得出检查结果为：</w:t>
      </w:r>
    </w:p>
    <w:p>
      <w:pPr>
        <w:widowControl/>
        <w:spacing w:line="500" w:lineRule="exact"/>
        <w:ind w:firstLine="480" w:firstLineChars="200"/>
        <w:rPr>
          <w:rFonts w:ascii="宋体" w:hAnsi="宋体"/>
          <w:color w:val="auto"/>
          <w:sz w:val="24"/>
        </w:rPr>
      </w:pPr>
      <w:r>
        <w:rPr>
          <w:rFonts w:hint="eastAsia" w:ascii="宋体" w:hAnsi="宋体"/>
          <w:color w:val="auto"/>
          <w:sz w:val="24"/>
        </w:rPr>
        <w:t>（1）总平面布置符合标准、规范要求。</w:t>
      </w:r>
    </w:p>
    <w:p>
      <w:pPr>
        <w:widowControl/>
        <w:spacing w:line="500" w:lineRule="exact"/>
        <w:ind w:firstLine="480"/>
        <w:rPr>
          <w:rFonts w:ascii="宋体" w:hAnsi="宋体"/>
          <w:color w:val="auto"/>
          <w:sz w:val="24"/>
        </w:rPr>
      </w:pPr>
      <w:r>
        <w:rPr>
          <w:rFonts w:hint="eastAsia" w:ascii="宋体" w:hAnsi="宋体"/>
          <w:color w:val="auto"/>
          <w:sz w:val="24"/>
        </w:rPr>
        <w:t>（2）可行性研究报告选用的采场要素基本符合国家相关法律、法规、标准和规范的要求。</w:t>
      </w:r>
    </w:p>
    <w:p>
      <w:pPr>
        <w:widowControl/>
        <w:spacing w:line="500" w:lineRule="exact"/>
        <w:ind w:firstLine="480"/>
        <w:rPr>
          <w:rFonts w:ascii="宋体" w:hAnsi="宋体"/>
          <w:color w:val="auto"/>
          <w:sz w:val="24"/>
        </w:rPr>
      </w:pPr>
      <w:r>
        <w:rPr>
          <w:rFonts w:hint="eastAsia" w:ascii="宋体" w:hAnsi="宋体"/>
          <w:color w:val="auto"/>
          <w:sz w:val="24"/>
        </w:rPr>
        <w:t>（3）建议下一步设计对排土场进行稳定性分析。</w:t>
      </w:r>
    </w:p>
    <w:p>
      <w:pPr>
        <w:widowControl/>
        <w:spacing w:line="500" w:lineRule="exact"/>
        <w:ind w:firstLine="480"/>
        <w:rPr>
          <w:rFonts w:ascii="宋体" w:hAnsi="宋体"/>
          <w:color w:val="auto"/>
          <w:sz w:val="24"/>
        </w:rPr>
      </w:pPr>
      <w:r>
        <w:rPr>
          <w:rFonts w:hint="eastAsia" w:ascii="宋体" w:hAnsi="宋体"/>
          <w:color w:val="auto"/>
          <w:sz w:val="24"/>
        </w:rPr>
        <w:t>（</w:t>
      </w:r>
      <w:r>
        <w:rPr>
          <w:rFonts w:ascii="宋体" w:hAnsi="宋体"/>
          <w:color w:val="auto"/>
          <w:sz w:val="24"/>
        </w:rPr>
        <w:t>4</w:t>
      </w:r>
      <w:r>
        <w:rPr>
          <w:rFonts w:hint="eastAsia" w:ascii="宋体" w:hAnsi="宋体"/>
          <w:color w:val="auto"/>
          <w:sz w:val="24"/>
        </w:rPr>
        <w:t>）该矿山为新建矿山，建议下步按相关法律法规建立相应的安全生产责任制、安全生产规章制度以及相应的操作规程，设置安全生产管理机构，并配备专职安全生产管理人员，聘请注册安全工程师。</w:t>
      </w:r>
    </w:p>
    <w:p>
      <w:pPr>
        <w:widowControl/>
        <w:spacing w:line="500" w:lineRule="exact"/>
        <w:ind w:firstLine="480" w:firstLineChars="200"/>
        <w:rPr>
          <w:rFonts w:ascii="宋体" w:hAnsi="宋体"/>
          <w:color w:val="auto"/>
          <w:sz w:val="24"/>
        </w:rPr>
      </w:pPr>
      <w:r>
        <w:rPr>
          <w:rFonts w:hint="eastAsia" w:ascii="宋体" w:hAnsi="宋体"/>
          <w:color w:val="auto"/>
          <w:sz w:val="24"/>
        </w:rPr>
        <w:t>2）采</w:t>
      </w:r>
      <w:r>
        <w:rPr>
          <w:rFonts w:ascii="宋体" w:hAnsi="宋体"/>
          <w:color w:val="auto"/>
          <w:sz w:val="24"/>
        </w:rPr>
        <w:t>用预先危险性分析法，得出各种危险、有害因素的定性评价结果见表3-9：</w:t>
      </w:r>
    </w:p>
    <w:p>
      <w:pPr>
        <w:widowControl/>
        <w:spacing w:line="500" w:lineRule="exact"/>
        <w:jc w:val="center"/>
        <w:outlineLvl w:val="4"/>
        <w:rPr>
          <w:rFonts w:ascii="宋体" w:hAnsi="宋体"/>
          <w:b/>
          <w:color w:val="auto"/>
          <w:sz w:val="24"/>
        </w:rPr>
      </w:pPr>
      <w:r>
        <w:rPr>
          <w:rFonts w:ascii="宋体" w:hAnsi="宋体"/>
          <w:b/>
          <w:color w:val="auto"/>
          <w:sz w:val="24"/>
        </w:rPr>
        <w:t>表3-9</w:t>
      </w:r>
      <w:r>
        <w:rPr>
          <w:rFonts w:hint="eastAsia" w:ascii="宋体" w:hAnsi="宋体"/>
          <w:b/>
          <w:color w:val="auto"/>
          <w:sz w:val="24"/>
        </w:rPr>
        <w:t xml:space="preserve"> </w:t>
      </w:r>
      <w:r>
        <w:rPr>
          <w:rFonts w:ascii="宋体" w:hAnsi="宋体"/>
          <w:b/>
          <w:color w:val="auto"/>
          <w:sz w:val="24"/>
        </w:rPr>
        <w:t>预先危险性分析评价结果汇总表</w:t>
      </w:r>
    </w:p>
    <w:tbl>
      <w:tblPr>
        <w:tblStyle w:val="41"/>
        <w:tblW w:w="90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3"/>
        <w:gridCol w:w="2582"/>
        <w:gridCol w:w="2353"/>
        <w:gridCol w:w="289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0" w:hRule="atLeast"/>
          <w:tblHeader/>
          <w:jc w:val="center"/>
        </w:trPr>
        <w:tc>
          <w:tcPr>
            <w:tcW w:w="1193" w:type="dxa"/>
            <w:vAlign w:val="center"/>
          </w:tcPr>
          <w:p>
            <w:pPr>
              <w:widowControl/>
              <w:jc w:val="center"/>
              <w:rPr>
                <w:rFonts w:ascii="宋体" w:hAnsi="宋体"/>
                <w:b/>
                <w:color w:val="auto"/>
                <w:szCs w:val="21"/>
              </w:rPr>
            </w:pPr>
            <w:r>
              <w:rPr>
                <w:rFonts w:ascii="宋体" w:hAnsi="宋体"/>
                <w:b/>
                <w:color w:val="auto"/>
                <w:szCs w:val="21"/>
              </w:rPr>
              <w:t>序号</w:t>
            </w:r>
          </w:p>
        </w:tc>
        <w:tc>
          <w:tcPr>
            <w:tcW w:w="2582" w:type="dxa"/>
            <w:vAlign w:val="center"/>
          </w:tcPr>
          <w:p>
            <w:pPr>
              <w:widowControl/>
              <w:jc w:val="center"/>
              <w:rPr>
                <w:rFonts w:ascii="宋体" w:hAnsi="宋体"/>
                <w:b/>
                <w:color w:val="auto"/>
                <w:szCs w:val="21"/>
              </w:rPr>
            </w:pPr>
            <w:r>
              <w:rPr>
                <w:rFonts w:hint="eastAsia" w:ascii="宋体" w:hAnsi="宋体"/>
                <w:b/>
                <w:color w:val="auto"/>
                <w:szCs w:val="21"/>
              </w:rPr>
              <w:t>危险有害因素</w:t>
            </w:r>
          </w:p>
        </w:tc>
        <w:tc>
          <w:tcPr>
            <w:tcW w:w="2353" w:type="dxa"/>
            <w:vAlign w:val="center"/>
          </w:tcPr>
          <w:p>
            <w:pPr>
              <w:widowControl/>
              <w:jc w:val="center"/>
              <w:rPr>
                <w:rFonts w:ascii="宋体" w:hAnsi="宋体"/>
                <w:b/>
                <w:color w:val="auto"/>
                <w:szCs w:val="21"/>
              </w:rPr>
            </w:pPr>
            <w:r>
              <w:rPr>
                <w:rFonts w:ascii="宋体" w:hAnsi="宋体"/>
                <w:b/>
                <w:color w:val="auto"/>
                <w:szCs w:val="21"/>
              </w:rPr>
              <w:t>危险性等级</w:t>
            </w:r>
          </w:p>
        </w:tc>
        <w:tc>
          <w:tcPr>
            <w:tcW w:w="2891" w:type="dxa"/>
            <w:vAlign w:val="center"/>
          </w:tcPr>
          <w:p>
            <w:pPr>
              <w:widowControl/>
              <w:jc w:val="center"/>
              <w:rPr>
                <w:rFonts w:ascii="宋体" w:hAnsi="宋体"/>
                <w:b/>
                <w:color w:val="auto"/>
                <w:szCs w:val="21"/>
              </w:rPr>
            </w:pPr>
            <w:r>
              <w:rPr>
                <w:rFonts w:ascii="宋体" w:hAnsi="宋体"/>
                <w:b/>
                <w:color w:val="auto"/>
                <w:szCs w:val="21"/>
              </w:rPr>
              <w:t>结论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93" w:type="dxa"/>
            <w:vAlign w:val="center"/>
          </w:tcPr>
          <w:p>
            <w:pPr>
              <w:widowControl/>
              <w:jc w:val="center"/>
              <w:rPr>
                <w:rFonts w:ascii="宋体" w:hAnsi="宋体"/>
                <w:color w:val="auto"/>
                <w:szCs w:val="21"/>
              </w:rPr>
            </w:pPr>
            <w:r>
              <w:rPr>
                <w:rFonts w:ascii="宋体" w:hAnsi="宋体"/>
                <w:color w:val="auto"/>
                <w:szCs w:val="21"/>
              </w:rPr>
              <w:t>1</w:t>
            </w:r>
          </w:p>
        </w:tc>
        <w:tc>
          <w:tcPr>
            <w:tcW w:w="2582" w:type="dxa"/>
            <w:vAlign w:val="center"/>
          </w:tcPr>
          <w:p>
            <w:pPr>
              <w:widowControl/>
              <w:jc w:val="center"/>
              <w:rPr>
                <w:rFonts w:ascii="宋体" w:hAnsi="宋体"/>
                <w:color w:val="auto"/>
                <w:szCs w:val="21"/>
              </w:rPr>
            </w:pPr>
            <w:r>
              <w:rPr>
                <w:rFonts w:ascii="宋体" w:hAnsi="宋体"/>
                <w:color w:val="auto"/>
                <w:szCs w:val="21"/>
              </w:rPr>
              <w:t>坍塌滑坡</w:t>
            </w:r>
          </w:p>
        </w:tc>
        <w:tc>
          <w:tcPr>
            <w:tcW w:w="2353" w:type="dxa"/>
            <w:vAlign w:val="center"/>
          </w:tcPr>
          <w:p>
            <w:pPr>
              <w:widowControl/>
              <w:jc w:val="center"/>
              <w:rPr>
                <w:rFonts w:ascii="宋体" w:hAnsi="宋体"/>
                <w:color w:val="auto"/>
                <w:szCs w:val="21"/>
              </w:rPr>
            </w:pPr>
            <w:r>
              <w:rPr>
                <w:rFonts w:ascii="宋体" w:hAnsi="宋体"/>
                <w:color w:val="auto"/>
                <w:szCs w:val="21"/>
              </w:rPr>
              <w:t>Ⅳ</w:t>
            </w:r>
          </w:p>
        </w:tc>
        <w:tc>
          <w:tcPr>
            <w:tcW w:w="2891" w:type="dxa"/>
            <w:vAlign w:val="center"/>
          </w:tcPr>
          <w:p>
            <w:pPr>
              <w:widowControl/>
              <w:jc w:val="center"/>
              <w:rPr>
                <w:rFonts w:ascii="宋体" w:hAnsi="宋体"/>
                <w:color w:val="auto"/>
                <w:szCs w:val="21"/>
              </w:rPr>
            </w:pPr>
            <w:r>
              <w:rPr>
                <w:rFonts w:ascii="宋体" w:hAnsi="宋体"/>
                <w:color w:val="auto"/>
                <w:szCs w:val="21"/>
              </w:rPr>
              <w:t>灾难性的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93" w:type="dxa"/>
            <w:vAlign w:val="center"/>
          </w:tcPr>
          <w:p>
            <w:pPr>
              <w:widowControl/>
              <w:jc w:val="center"/>
              <w:rPr>
                <w:rFonts w:ascii="宋体" w:hAnsi="宋体"/>
                <w:color w:val="auto"/>
                <w:szCs w:val="21"/>
              </w:rPr>
            </w:pPr>
            <w:r>
              <w:rPr>
                <w:rFonts w:ascii="宋体" w:hAnsi="宋体"/>
                <w:color w:val="auto"/>
                <w:szCs w:val="21"/>
              </w:rPr>
              <w:t>2</w:t>
            </w:r>
          </w:p>
        </w:tc>
        <w:tc>
          <w:tcPr>
            <w:tcW w:w="2582" w:type="dxa"/>
            <w:vAlign w:val="center"/>
          </w:tcPr>
          <w:p>
            <w:pPr>
              <w:widowControl/>
              <w:jc w:val="center"/>
              <w:rPr>
                <w:rFonts w:ascii="宋体" w:hAnsi="宋体"/>
                <w:color w:val="auto"/>
                <w:szCs w:val="21"/>
              </w:rPr>
            </w:pPr>
            <w:r>
              <w:rPr>
                <w:rFonts w:ascii="宋体" w:hAnsi="宋体"/>
                <w:color w:val="auto"/>
                <w:szCs w:val="21"/>
              </w:rPr>
              <w:t>物体打击</w:t>
            </w:r>
          </w:p>
        </w:tc>
        <w:tc>
          <w:tcPr>
            <w:tcW w:w="2353" w:type="dxa"/>
            <w:vAlign w:val="center"/>
          </w:tcPr>
          <w:p>
            <w:pPr>
              <w:widowControl/>
              <w:jc w:val="center"/>
              <w:rPr>
                <w:rFonts w:ascii="宋体" w:hAnsi="宋体"/>
                <w:color w:val="auto"/>
                <w:szCs w:val="21"/>
              </w:rPr>
            </w:pPr>
            <w:r>
              <w:rPr>
                <w:rFonts w:hint="eastAsia" w:ascii="宋体" w:hAnsi="宋体" w:cs="宋体"/>
                <w:color w:val="auto"/>
                <w:szCs w:val="21"/>
              </w:rPr>
              <w:t>Ⅲ</w:t>
            </w:r>
          </w:p>
        </w:tc>
        <w:tc>
          <w:tcPr>
            <w:tcW w:w="2891" w:type="dxa"/>
            <w:vAlign w:val="center"/>
          </w:tcPr>
          <w:p>
            <w:pPr>
              <w:widowControl/>
              <w:jc w:val="center"/>
              <w:rPr>
                <w:rFonts w:ascii="宋体" w:hAnsi="宋体"/>
                <w:color w:val="auto"/>
                <w:szCs w:val="21"/>
              </w:rPr>
            </w:pPr>
            <w:r>
              <w:rPr>
                <w:rFonts w:ascii="宋体" w:hAnsi="宋体"/>
                <w:color w:val="auto"/>
                <w:szCs w:val="21"/>
              </w:rPr>
              <w:t>危险的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93" w:type="dxa"/>
            <w:vAlign w:val="center"/>
          </w:tcPr>
          <w:p>
            <w:pPr>
              <w:widowControl/>
              <w:jc w:val="center"/>
              <w:rPr>
                <w:rFonts w:ascii="宋体" w:hAnsi="宋体"/>
                <w:color w:val="auto"/>
                <w:szCs w:val="21"/>
              </w:rPr>
            </w:pPr>
            <w:r>
              <w:rPr>
                <w:rFonts w:ascii="宋体" w:hAnsi="宋体"/>
                <w:color w:val="auto"/>
                <w:szCs w:val="21"/>
              </w:rPr>
              <w:t>3</w:t>
            </w:r>
          </w:p>
        </w:tc>
        <w:tc>
          <w:tcPr>
            <w:tcW w:w="2582" w:type="dxa"/>
            <w:vAlign w:val="center"/>
          </w:tcPr>
          <w:p>
            <w:pPr>
              <w:widowControl/>
              <w:jc w:val="center"/>
              <w:rPr>
                <w:rFonts w:ascii="宋体" w:hAnsi="宋体"/>
                <w:color w:val="auto"/>
                <w:szCs w:val="21"/>
              </w:rPr>
            </w:pPr>
            <w:r>
              <w:rPr>
                <w:rFonts w:ascii="宋体" w:hAnsi="宋体"/>
                <w:color w:val="auto"/>
                <w:szCs w:val="21"/>
              </w:rPr>
              <w:t>高处坠落</w:t>
            </w:r>
          </w:p>
        </w:tc>
        <w:tc>
          <w:tcPr>
            <w:tcW w:w="2353" w:type="dxa"/>
            <w:vAlign w:val="center"/>
          </w:tcPr>
          <w:p>
            <w:pPr>
              <w:widowControl/>
              <w:jc w:val="center"/>
              <w:rPr>
                <w:rFonts w:ascii="宋体" w:hAnsi="宋体"/>
                <w:color w:val="auto"/>
                <w:szCs w:val="21"/>
              </w:rPr>
            </w:pPr>
            <w:r>
              <w:rPr>
                <w:rFonts w:ascii="宋体" w:hAnsi="宋体"/>
                <w:color w:val="auto"/>
                <w:szCs w:val="21"/>
              </w:rPr>
              <w:t>Ⅲ</w:t>
            </w:r>
          </w:p>
        </w:tc>
        <w:tc>
          <w:tcPr>
            <w:tcW w:w="2891" w:type="dxa"/>
            <w:vAlign w:val="center"/>
          </w:tcPr>
          <w:p>
            <w:pPr>
              <w:widowControl/>
              <w:jc w:val="center"/>
              <w:rPr>
                <w:rFonts w:ascii="宋体" w:hAnsi="宋体"/>
                <w:color w:val="auto"/>
                <w:szCs w:val="21"/>
              </w:rPr>
            </w:pPr>
            <w:r>
              <w:rPr>
                <w:rFonts w:ascii="宋体" w:hAnsi="宋体"/>
                <w:color w:val="auto"/>
                <w:szCs w:val="21"/>
              </w:rPr>
              <w:t>危险的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93" w:type="dxa"/>
            <w:vAlign w:val="center"/>
          </w:tcPr>
          <w:p>
            <w:pPr>
              <w:widowControl/>
              <w:jc w:val="center"/>
              <w:rPr>
                <w:rFonts w:ascii="宋体" w:hAnsi="宋体"/>
                <w:color w:val="auto"/>
                <w:szCs w:val="21"/>
              </w:rPr>
            </w:pPr>
            <w:r>
              <w:rPr>
                <w:rFonts w:ascii="宋体" w:hAnsi="宋体"/>
                <w:color w:val="auto"/>
                <w:szCs w:val="21"/>
              </w:rPr>
              <w:t>4</w:t>
            </w:r>
          </w:p>
        </w:tc>
        <w:tc>
          <w:tcPr>
            <w:tcW w:w="2582" w:type="dxa"/>
            <w:vAlign w:val="center"/>
          </w:tcPr>
          <w:p>
            <w:pPr>
              <w:widowControl/>
              <w:jc w:val="center"/>
              <w:rPr>
                <w:rFonts w:ascii="宋体" w:hAnsi="宋体"/>
                <w:color w:val="auto"/>
                <w:szCs w:val="21"/>
              </w:rPr>
            </w:pPr>
            <w:r>
              <w:rPr>
                <w:rFonts w:ascii="宋体" w:hAnsi="宋体"/>
                <w:color w:val="auto"/>
                <w:szCs w:val="21"/>
              </w:rPr>
              <w:t>车辆伤害</w:t>
            </w:r>
          </w:p>
        </w:tc>
        <w:tc>
          <w:tcPr>
            <w:tcW w:w="2353" w:type="dxa"/>
            <w:vAlign w:val="center"/>
          </w:tcPr>
          <w:p>
            <w:pPr>
              <w:widowControl/>
              <w:jc w:val="center"/>
              <w:rPr>
                <w:rFonts w:ascii="宋体" w:hAnsi="宋体"/>
                <w:color w:val="auto"/>
                <w:szCs w:val="21"/>
              </w:rPr>
            </w:pPr>
            <w:r>
              <w:rPr>
                <w:rFonts w:ascii="宋体" w:hAnsi="宋体"/>
                <w:color w:val="auto"/>
                <w:szCs w:val="21"/>
              </w:rPr>
              <w:t>Ⅲ</w:t>
            </w:r>
          </w:p>
        </w:tc>
        <w:tc>
          <w:tcPr>
            <w:tcW w:w="2891" w:type="dxa"/>
            <w:vAlign w:val="center"/>
          </w:tcPr>
          <w:p>
            <w:pPr>
              <w:widowControl/>
              <w:jc w:val="center"/>
              <w:rPr>
                <w:rFonts w:ascii="宋体" w:hAnsi="宋体"/>
                <w:color w:val="auto"/>
                <w:szCs w:val="21"/>
              </w:rPr>
            </w:pPr>
            <w:r>
              <w:rPr>
                <w:rFonts w:ascii="宋体" w:hAnsi="宋体"/>
                <w:color w:val="auto"/>
                <w:szCs w:val="21"/>
              </w:rPr>
              <w:t>危险的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93" w:type="dxa"/>
            <w:vAlign w:val="center"/>
          </w:tcPr>
          <w:p>
            <w:pPr>
              <w:widowControl/>
              <w:jc w:val="center"/>
              <w:rPr>
                <w:rFonts w:ascii="宋体" w:hAnsi="宋体"/>
                <w:color w:val="auto"/>
                <w:szCs w:val="21"/>
              </w:rPr>
            </w:pPr>
            <w:r>
              <w:rPr>
                <w:rFonts w:ascii="宋体" w:hAnsi="宋体"/>
                <w:color w:val="auto"/>
                <w:szCs w:val="21"/>
              </w:rPr>
              <w:t>5</w:t>
            </w:r>
          </w:p>
        </w:tc>
        <w:tc>
          <w:tcPr>
            <w:tcW w:w="2582" w:type="dxa"/>
            <w:vAlign w:val="center"/>
          </w:tcPr>
          <w:p>
            <w:pPr>
              <w:widowControl/>
              <w:jc w:val="center"/>
              <w:rPr>
                <w:rFonts w:ascii="宋体" w:hAnsi="宋体"/>
                <w:color w:val="auto"/>
                <w:szCs w:val="21"/>
              </w:rPr>
            </w:pPr>
            <w:r>
              <w:rPr>
                <w:rFonts w:ascii="宋体" w:hAnsi="宋体"/>
                <w:color w:val="auto"/>
                <w:szCs w:val="21"/>
              </w:rPr>
              <w:t>机械伤害</w:t>
            </w:r>
          </w:p>
        </w:tc>
        <w:tc>
          <w:tcPr>
            <w:tcW w:w="2353" w:type="dxa"/>
            <w:vAlign w:val="center"/>
          </w:tcPr>
          <w:p>
            <w:pPr>
              <w:widowControl/>
              <w:jc w:val="center"/>
              <w:rPr>
                <w:rFonts w:ascii="宋体" w:hAnsi="宋体"/>
                <w:color w:val="auto"/>
                <w:szCs w:val="21"/>
              </w:rPr>
            </w:pPr>
            <w:r>
              <w:rPr>
                <w:rFonts w:ascii="宋体" w:hAnsi="宋体"/>
                <w:color w:val="auto"/>
                <w:szCs w:val="21"/>
              </w:rPr>
              <w:t>Ⅲ</w:t>
            </w:r>
          </w:p>
        </w:tc>
        <w:tc>
          <w:tcPr>
            <w:tcW w:w="2891" w:type="dxa"/>
            <w:vAlign w:val="center"/>
          </w:tcPr>
          <w:p>
            <w:pPr>
              <w:widowControl/>
              <w:jc w:val="center"/>
              <w:rPr>
                <w:rFonts w:ascii="宋体" w:hAnsi="宋体"/>
                <w:color w:val="auto"/>
                <w:szCs w:val="21"/>
              </w:rPr>
            </w:pPr>
            <w:r>
              <w:rPr>
                <w:rFonts w:ascii="宋体" w:hAnsi="宋体"/>
                <w:color w:val="auto"/>
                <w:szCs w:val="21"/>
              </w:rPr>
              <w:t>危险的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93" w:type="dxa"/>
            <w:vAlign w:val="center"/>
          </w:tcPr>
          <w:p>
            <w:pPr>
              <w:widowControl/>
              <w:jc w:val="center"/>
              <w:rPr>
                <w:rFonts w:ascii="宋体" w:hAnsi="宋体"/>
                <w:color w:val="auto"/>
                <w:szCs w:val="21"/>
              </w:rPr>
            </w:pPr>
            <w:r>
              <w:rPr>
                <w:rFonts w:ascii="宋体" w:hAnsi="宋体"/>
                <w:color w:val="auto"/>
                <w:szCs w:val="21"/>
              </w:rPr>
              <w:t>6</w:t>
            </w:r>
          </w:p>
        </w:tc>
        <w:tc>
          <w:tcPr>
            <w:tcW w:w="2582" w:type="dxa"/>
            <w:vAlign w:val="center"/>
          </w:tcPr>
          <w:p>
            <w:pPr>
              <w:widowControl/>
              <w:jc w:val="center"/>
              <w:rPr>
                <w:rFonts w:ascii="宋体" w:hAnsi="宋体"/>
                <w:color w:val="auto"/>
                <w:szCs w:val="21"/>
              </w:rPr>
            </w:pPr>
            <w:r>
              <w:rPr>
                <w:rFonts w:ascii="宋体" w:hAnsi="宋体"/>
                <w:color w:val="auto"/>
                <w:szCs w:val="21"/>
              </w:rPr>
              <w:t>触电</w:t>
            </w:r>
          </w:p>
        </w:tc>
        <w:tc>
          <w:tcPr>
            <w:tcW w:w="2353" w:type="dxa"/>
            <w:vAlign w:val="center"/>
          </w:tcPr>
          <w:p>
            <w:pPr>
              <w:widowControl/>
              <w:jc w:val="center"/>
              <w:rPr>
                <w:rFonts w:ascii="宋体" w:hAnsi="宋体"/>
                <w:color w:val="auto"/>
                <w:szCs w:val="21"/>
              </w:rPr>
            </w:pPr>
            <w:r>
              <w:rPr>
                <w:rFonts w:ascii="宋体" w:hAnsi="宋体"/>
                <w:color w:val="auto"/>
                <w:szCs w:val="21"/>
              </w:rPr>
              <w:t>Ⅲ</w:t>
            </w:r>
          </w:p>
        </w:tc>
        <w:tc>
          <w:tcPr>
            <w:tcW w:w="2891" w:type="dxa"/>
            <w:vAlign w:val="center"/>
          </w:tcPr>
          <w:p>
            <w:pPr>
              <w:widowControl/>
              <w:jc w:val="center"/>
              <w:rPr>
                <w:rFonts w:ascii="宋体" w:hAnsi="宋体"/>
                <w:color w:val="auto"/>
                <w:szCs w:val="21"/>
              </w:rPr>
            </w:pPr>
            <w:r>
              <w:rPr>
                <w:rFonts w:ascii="宋体" w:hAnsi="宋体"/>
                <w:color w:val="auto"/>
                <w:szCs w:val="21"/>
              </w:rPr>
              <w:t>危险的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93" w:type="dxa"/>
            <w:vAlign w:val="center"/>
          </w:tcPr>
          <w:p>
            <w:pPr>
              <w:widowControl/>
              <w:jc w:val="center"/>
              <w:rPr>
                <w:rFonts w:ascii="宋体" w:hAnsi="宋体"/>
                <w:color w:val="auto"/>
                <w:szCs w:val="21"/>
              </w:rPr>
            </w:pPr>
            <w:r>
              <w:rPr>
                <w:rFonts w:ascii="宋体" w:hAnsi="宋体"/>
                <w:color w:val="auto"/>
                <w:szCs w:val="21"/>
              </w:rPr>
              <w:t>7</w:t>
            </w:r>
          </w:p>
        </w:tc>
        <w:tc>
          <w:tcPr>
            <w:tcW w:w="2582" w:type="dxa"/>
            <w:vAlign w:val="center"/>
          </w:tcPr>
          <w:p>
            <w:pPr>
              <w:widowControl/>
              <w:jc w:val="center"/>
              <w:rPr>
                <w:rFonts w:ascii="宋体" w:hAnsi="宋体"/>
                <w:color w:val="auto"/>
                <w:szCs w:val="21"/>
              </w:rPr>
            </w:pPr>
            <w:r>
              <w:rPr>
                <w:rFonts w:ascii="宋体" w:hAnsi="宋体"/>
                <w:color w:val="auto"/>
                <w:szCs w:val="21"/>
              </w:rPr>
              <w:t>火灾</w:t>
            </w:r>
          </w:p>
        </w:tc>
        <w:tc>
          <w:tcPr>
            <w:tcW w:w="2353" w:type="dxa"/>
            <w:vAlign w:val="center"/>
          </w:tcPr>
          <w:p>
            <w:pPr>
              <w:widowControl/>
              <w:jc w:val="center"/>
              <w:rPr>
                <w:rFonts w:ascii="宋体" w:hAnsi="宋体"/>
                <w:b/>
                <w:color w:val="auto"/>
                <w:szCs w:val="21"/>
              </w:rPr>
            </w:pPr>
            <w:r>
              <w:rPr>
                <w:rFonts w:ascii="宋体" w:hAnsi="宋体"/>
                <w:color w:val="auto"/>
                <w:szCs w:val="21"/>
              </w:rPr>
              <w:t>Ⅲ</w:t>
            </w:r>
          </w:p>
        </w:tc>
        <w:tc>
          <w:tcPr>
            <w:tcW w:w="2891" w:type="dxa"/>
            <w:vAlign w:val="center"/>
          </w:tcPr>
          <w:p>
            <w:pPr>
              <w:widowControl/>
              <w:jc w:val="center"/>
              <w:rPr>
                <w:rFonts w:ascii="宋体" w:hAnsi="宋体"/>
                <w:color w:val="auto"/>
                <w:szCs w:val="21"/>
              </w:rPr>
            </w:pPr>
            <w:r>
              <w:rPr>
                <w:rFonts w:ascii="宋体" w:hAnsi="宋体"/>
                <w:color w:val="auto"/>
                <w:szCs w:val="21"/>
              </w:rPr>
              <w:t>危险的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93" w:type="dxa"/>
            <w:vAlign w:val="center"/>
          </w:tcPr>
          <w:p>
            <w:pPr>
              <w:widowControl/>
              <w:jc w:val="center"/>
              <w:rPr>
                <w:rFonts w:ascii="宋体" w:hAnsi="宋体"/>
                <w:color w:val="auto"/>
                <w:szCs w:val="21"/>
              </w:rPr>
            </w:pPr>
            <w:r>
              <w:rPr>
                <w:rFonts w:ascii="宋体" w:hAnsi="宋体"/>
                <w:color w:val="auto"/>
                <w:szCs w:val="21"/>
              </w:rPr>
              <w:t>8</w:t>
            </w:r>
          </w:p>
        </w:tc>
        <w:tc>
          <w:tcPr>
            <w:tcW w:w="2582" w:type="dxa"/>
            <w:vAlign w:val="center"/>
          </w:tcPr>
          <w:p>
            <w:pPr>
              <w:widowControl/>
              <w:jc w:val="center"/>
              <w:rPr>
                <w:rFonts w:ascii="宋体" w:hAnsi="宋体"/>
                <w:color w:val="auto"/>
                <w:szCs w:val="21"/>
              </w:rPr>
            </w:pPr>
            <w:r>
              <w:rPr>
                <w:rFonts w:ascii="宋体" w:hAnsi="宋体"/>
                <w:color w:val="auto"/>
                <w:szCs w:val="21"/>
              </w:rPr>
              <w:t>粉尘</w:t>
            </w:r>
          </w:p>
        </w:tc>
        <w:tc>
          <w:tcPr>
            <w:tcW w:w="2353" w:type="dxa"/>
            <w:vAlign w:val="center"/>
          </w:tcPr>
          <w:p>
            <w:pPr>
              <w:widowControl/>
              <w:jc w:val="center"/>
              <w:rPr>
                <w:rFonts w:ascii="宋体" w:hAnsi="宋体"/>
                <w:color w:val="auto"/>
                <w:szCs w:val="21"/>
              </w:rPr>
            </w:pPr>
            <w:r>
              <w:rPr>
                <w:rFonts w:hint="eastAsia" w:ascii="宋体" w:hAnsi="宋体"/>
                <w:color w:val="auto"/>
                <w:szCs w:val="21"/>
              </w:rPr>
              <w:t>Ⅲ</w:t>
            </w:r>
          </w:p>
        </w:tc>
        <w:tc>
          <w:tcPr>
            <w:tcW w:w="2891" w:type="dxa"/>
            <w:vAlign w:val="center"/>
          </w:tcPr>
          <w:p>
            <w:pPr>
              <w:widowControl/>
              <w:jc w:val="center"/>
              <w:rPr>
                <w:rFonts w:ascii="宋体" w:hAnsi="宋体"/>
                <w:color w:val="auto"/>
                <w:szCs w:val="21"/>
              </w:rPr>
            </w:pPr>
            <w:r>
              <w:rPr>
                <w:rFonts w:hint="eastAsia" w:ascii="宋体" w:hAnsi="宋体"/>
                <w:color w:val="auto"/>
                <w:szCs w:val="21"/>
              </w:rPr>
              <w:t>危险的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93" w:type="dxa"/>
            <w:vAlign w:val="center"/>
          </w:tcPr>
          <w:p>
            <w:pPr>
              <w:widowControl/>
              <w:jc w:val="center"/>
              <w:rPr>
                <w:rFonts w:ascii="宋体" w:hAnsi="宋体"/>
                <w:color w:val="auto"/>
                <w:szCs w:val="21"/>
              </w:rPr>
            </w:pPr>
            <w:r>
              <w:rPr>
                <w:rFonts w:ascii="宋体" w:hAnsi="宋体"/>
                <w:color w:val="auto"/>
                <w:szCs w:val="21"/>
              </w:rPr>
              <w:t>9</w:t>
            </w:r>
          </w:p>
        </w:tc>
        <w:tc>
          <w:tcPr>
            <w:tcW w:w="2582" w:type="dxa"/>
            <w:vAlign w:val="center"/>
          </w:tcPr>
          <w:p>
            <w:pPr>
              <w:widowControl/>
              <w:jc w:val="center"/>
              <w:rPr>
                <w:rFonts w:ascii="宋体" w:hAnsi="宋体"/>
                <w:color w:val="auto"/>
                <w:szCs w:val="21"/>
              </w:rPr>
            </w:pPr>
            <w:r>
              <w:rPr>
                <w:rFonts w:ascii="宋体" w:hAnsi="宋体"/>
                <w:color w:val="auto"/>
                <w:szCs w:val="21"/>
              </w:rPr>
              <w:t>噪声</w:t>
            </w:r>
          </w:p>
        </w:tc>
        <w:tc>
          <w:tcPr>
            <w:tcW w:w="2353" w:type="dxa"/>
            <w:vAlign w:val="center"/>
          </w:tcPr>
          <w:p>
            <w:pPr>
              <w:widowControl/>
              <w:jc w:val="center"/>
              <w:rPr>
                <w:rFonts w:ascii="宋体" w:hAnsi="宋体"/>
                <w:color w:val="auto"/>
                <w:szCs w:val="21"/>
              </w:rPr>
            </w:pPr>
            <w:r>
              <w:rPr>
                <w:rFonts w:ascii="宋体" w:hAnsi="宋体"/>
                <w:color w:val="auto"/>
                <w:szCs w:val="21"/>
              </w:rPr>
              <w:t>Ⅱ</w:t>
            </w:r>
          </w:p>
        </w:tc>
        <w:tc>
          <w:tcPr>
            <w:tcW w:w="2891" w:type="dxa"/>
            <w:vAlign w:val="center"/>
          </w:tcPr>
          <w:p>
            <w:pPr>
              <w:widowControl/>
              <w:jc w:val="center"/>
              <w:rPr>
                <w:rFonts w:ascii="宋体" w:hAnsi="宋体"/>
                <w:color w:val="auto"/>
                <w:szCs w:val="21"/>
              </w:rPr>
            </w:pPr>
            <w:r>
              <w:rPr>
                <w:rFonts w:ascii="宋体" w:hAnsi="宋体"/>
                <w:color w:val="auto"/>
                <w:szCs w:val="21"/>
              </w:rPr>
              <w:t>临界的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93" w:type="dxa"/>
            <w:vAlign w:val="center"/>
          </w:tcPr>
          <w:p>
            <w:pPr>
              <w:widowControl/>
              <w:jc w:val="center"/>
              <w:rPr>
                <w:rFonts w:ascii="宋体" w:hAnsi="宋体"/>
                <w:color w:val="auto"/>
                <w:szCs w:val="21"/>
              </w:rPr>
            </w:pPr>
            <w:r>
              <w:rPr>
                <w:rFonts w:ascii="宋体" w:hAnsi="宋体"/>
                <w:color w:val="auto"/>
                <w:szCs w:val="21"/>
              </w:rPr>
              <w:t>10</w:t>
            </w:r>
          </w:p>
        </w:tc>
        <w:tc>
          <w:tcPr>
            <w:tcW w:w="2582" w:type="dxa"/>
            <w:vAlign w:val="center"/>
          </w:tcPr>
          <w:p>
            <w:pPr>
              <w:widowControl/>
              <w:jc w:val="center"/>
              <w:rPr>
                <w:rFonts w:ascii="宋体" w:hAnsi="宋体"/>
                <w:color w:val="auto"/>
                <w:szCs w:val="21"/>
              </w:rPr>
            </w:pPr>
            <w:r>
              <w:rPr>
                <w:rFonts w:ascii="宋体" w:hAnsi="宋体"/>
                <w:color w:val="auto"/>
                <w:szCs w:val="21"/>
              </w:rPr>
              <w:t>振动</w:t>
            </w:r>
          </w:p>
        </w:tc>
        <w:tc>
          <w:tcPr>
            <w:tcW w:w="2353" w:type="dxa"/>
            <w:vAlign w:val="center"/>
          </w:tcPr>
          <w:p>
            <w:pPr>
              <w:widowControl/>
              <w:jc w:val="center"/>
              <w:rPr>
                <w:rFonts w:ascii="宋体" w:hAnsi="宋体"/>
                <w:color w:val="auto"/>
                <w:szCs w:val="21"/>
              </w:rPr>
            </w:pPr>
            <w:r>
              <w:rPr>
                <w:rFonts w:ascii="宋体" w:hAnsi="宋体"/>
                <w:color w:val="auto"/>
                <w:szCs w:val="21"/>
              </w:rPr>
              <w:t>Ⅱ</w:t>
            </w:r>
          </w:p>
        </w:tc>
        <w:tc>
          <w:tcPr>
            <w:tcW w:w="2891" w:type="dxa"/>
            <w:vAlign w:val="center"/>
          </w:tcPr>
          <w:p>
            <w:pPr>
              <w:widowControl/>
              <w:jc w:val="center"/>
              <w:rPr>
                <w:rFonts w:ascii="宋体" w:hAnsi="宋体"/>
                <w:color w:val="auto"/>
                <w:szCs w:val="21"/>
              </w:rPr>
            </w:pPr>
            <w:r>
              <w:rPr>
                <w:rFonts w:ascii="宋体" w:hAnsi="宋体"/>
                <w:color w:val="auto"/>
                <w:szCs w:val="21"/>
              </w:rPr>
              <w:t>临界的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 w:hRule="atLeast"/>
          <w:jc w:val="center"/>
        </w:trPr>
        <w:tc>
          <w:tcPr>
            <w:tcW w:w="1193" w:type="dxa"/>
            <w:vAlign w:val="center"/>
          </w:tcPr>
          <w:p>
            <w:pPr>
              <w:widowControl/>
              <w:jc w:val="center"/>
              <w:rPr>
                <w:rFonts w:ascii="宋体" w:hAnsi="宋体"/>
                <w:color w:val="auto"/>
                <w:szCs w:val="21"/>
              </w:rPr>
            </w:pPr>
            <w:r>
              <w:rPr>
                <w:rFonts w:ascii="宋体" w:hAnsi="宋体"/>
                <w:color w:val="auto"/>
                <w:szCs w:val="21"/>
              </w:rPr>
              <w:t>11</w:t>
            </w:r>
          </w:p>
        </w:tc>
        <w:tc>
          <w:tcPr>
            <w:tcW w:w="2582" w:type="dxa"/>
            <w:vAlign w:val="center"/>
          </w:tcPr>
          <w:p>
            <w:pPr>
              <w:widowControl/>
              <w:jc w:val="center"/>
              <w:rPr>
                <w:rFonts w:ascii="宋体" w:hAnsi="宋体"/>
                <w:color w:val="auto"/>
                <w:szCs w:val="21"/>
              </w:rPr>
            </w:pPr>
            <w:r>
              <w:rPr>
                <w:rFonts w:ascii="宋体" w:hAnsi="宋体"/>
                <w:color w:val="auto"/>
                <w:szCs w:val="21"/>
              </w:rPr>
              <w:t>高温</w:t>
            </w:r>
            <w:r>
              <w:rPr>
                <w:rFonts w:hint="eastAsia" w:ascii="宋体" w:hAnsi="宋体"/>
                <w:color w:val="auto"/>
                <w:szCs w:val="21"/>
              </w:rPr>
              <w:t>中暑</w:t>
            </w:r>
          </w:p>
        </w:tc>
        <w:tc>
          <w:tcPr>
            <w:tcW w:w="2353" w:type="dxa"/>
            <w:vAlign w:val="center"/>
          </w:tcPr>
          <w:p>
            <w:pPr>
              <w:widowControl/>
              <w:jc w:val="center"/>
              <w:rPr>
                <w:rFonts w:ascii="宋体" w:hAnsi="宋体"/>
                <w:color w:val="auto"/>
                <w:szCs w:val="21"/>
              </w:rPr>
            </w:pPr>
            <w:r>
              <w:rPr>
                <w:rFonts w:ascii="宋体" w:hAnsi="宋体"/>
                <w:color w:val="auto"/>
                <w:szCs w:val="21"/>
              </w:rPr>
              <w:t>Ⅱ</w:t>
            </w:r>
          </w:p>
        </w:tc>
        <w:tc>
          <w:tcPr>
            <w:tcW w:w="2891" w:type="dxa"/>
            <w:vAlign w:val="center"/>
          </w:tcPr>
          <w:p>
            <w:pPr>
              <w:widowControl/>
              <w:jc w:val="center"/>
              <w:rPr>
                <w:rFonts w:ascii="宋体" w:hAnsi="宋体"/>
                <w:color w:val="auto"/>
                <w:szCs w:val="21"/>
              </w:rPr>
            </w:pPr>
            <w:r>
              <w:rPr>
                <w:rFonts w:ascii="宋体" w:hAnsi="宋体"/>
                <w:color w:val="auto"/>
                <w:szCs w:val="21"/>
              </w:rPr>
              <w:t>临界的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jc w:val="center"/>
        </w:trPr>
        <w:tc>
          <w:tcPr>
            <w:tcW w:w="1193" w:type="dxa"/>
            <w:vAlign w:val="center"/>
          </w:tcPr>
          <w:p>
            <w:pPr>
              <w:widowControl/>
              <w:jc w:val="center"/>
              <w:rPr>
                <w:rFonts w:ascii="宋体" w:hAnsi="宋体"/>
                <w:color w:val="auto"/>
                <w:szCs w:val="21"/>
              </w:rPr>
            </w:pPr>
            <w:r>
              <w:rPr>
                <w:rFonts w:hint="eastAsia" w:ascii="宋体" w:hAnsi="宋体"/>
                <w:color w:val="auto"/>
                <w:szCs w:val="21"/>
              </w:rPr>
              <w:t>1</w:t>
            </w:r>
            <w:r>
              <w:rPr>
                <w:rFonts w:ascii="宋体" w:hAnsi="宋体"/>
                <w:color w:val="auto"/>
                <w:szCs w:val="21"/>
              </w:rPr>
              <w:t>2</w:t>
            </w:r>
          </w:p>
        </w:tc>
        <w:tc>
          <w:tcPr>
            <w:tcW w:w="2582" w:type="dxa"/>
            <w:vAlign w:val="center"/>
          </w:tcPr>
          <w:p>
            <w:pPr>
              <w:widowControl/>
              <w:jc w:val="center"/>
              <w:rPr>
                <w:rFonts w:ascii="宋体" w:hAnsi="宋体"/>
                <w:color w:val="auto"/>
                <w:szCs w:val="21"/>
              </w:rPr>
            </w:pPr>
            <w:r>
              <w:rPr>
                <w:rFonts w:hint="eastAsia" w:ascii="宋体" w:hAnsi="宋体"/>
                <w:color w:val="auto"/>
                <w:szCs w:val="21"/>
              </w:rPr>
              <w:t>辐射</w:t>
            </w:r>
          </w:p>
        </w:tc>
        <w:tc>
          <w:tcPr>
            <w:tcW w:w="2353" w:type="dxa"/>
            <w:vAlign w:val="center"/>
          </w:tcPr>
          <w:p>
            <w:pPr>
              <w:widowControl/>
              <w:jc w:val="center"/>
              <w:rPr>
                <w:rFonts w:ascii="宋体" w:hAnsi="宋体"/>
                <w:color w:val="auto"/>
                <w:szCs w:val="21"/>
              </w:rPr>
            </w:pPr>
            <w:r>
              <w:rPr>
                <w:rFonts w:ascii="宋体" w:hAnsi="宋体"/>
                <w:color w:val="auto"/>
                <w:szCs w:val="21"/>
              </w:rPr>
              <w:t>Ⅱ</w:t>
            </w:r>
          </w:p>
        </w:tc>
        <w:tc>
          <w:tcPr>
            <w:tcW w:w="2891" w:type="dxa"/>
            <w:vAlign w:val="center"/>
          </w:tcPr>
          <w:p>
            <w:pPr>
              <w:widowControl/>
              <w:jc w:val="center"/>
              <w:rPr>
                <w:rFonts w:ascii="宋体" w:hAnsi="宋体"/>
                <w:color w:val="auto"/>
                <w:szCs w:val="21"/>
              </w:rPr>
            </w:pPr>
            <w:r>
              <w:rPr>
                <w:rFonts w:ascii="宋体" w:hAnsi="宋体"/>
                <w:color w:val="auto"/>
                <w:szCs w:val="21"/>
              </w:rPr>
              <w:t>临界的</w:t>
            </w:r>
          </w:p>
        </w:tc>
      </w:tr>
    </w:tbl>
    <w:p>
      <w:pPr>
        <w:widowControl/>
        <w:spacing w:line="500" w:lineRule="exact"/>
        <w:ind w:firstLine="480" w:firstLineChars="200"/>
        <w:rPr>
          <w:rFonts w:ascii="宋体" w:hAnsi="宋体"/>
          <w:color w:val="auto"/>
          <w:sz w:val="24"/>
        </w:rPr>
      </w:pPr>
      <w:r>
        <w:rPr>
          <w:rFonts w:ascii="宋体" w:hAnsi="宋体"/>
          <w:color w:val="auto"/>
          <w:sz w:val="24"/>
        </w:rPr>
        <w:t>通过对该建设项目</w:t>
      </w:r>
      <w:r>
        <w:rPr>
          <w:rFonts w:hint="eastAsia" w:ascii="宋体" w:hAnsi="宋体"/>
          <w:color w:val="auto"/>
          <w:sz w:val="24"/>
        </w:rPr>
        <w:t>单元</w:t>
      </w:r>
      <w:r>
        <w:rPr>
          <w:rFonts w:ascii="宋体" w:hAnsi="宋体"/>
          <w:color w:val="auto"/>
          <w:sz w:val="24"/>
        </w:rPr>
        <w:t>进行预先危险性分析评价，得出了该项目不同场所可能存在的危险、有害因素和危险性等级。</w:t>
      </w:r>
    </w:p>
    <w:p>
      <w:pPr>
        <w:widowControl/>
        <w:spacing w:line="500" w:lineRule="exact"/>
        <w:ind w:firstLine="480" w:firstLineChars="200"/>
        <w:rPr>
          <w:rFonts w:ascii="宋体" w:hAnsi="宋体"/>
          <w:color w:val="auto"/>
          <w:sz w:val="24"/>
        </w:rPr>
      </w:pPr>
      <w:r>
        <w:rPr>
          <w:rFonts w:ascii="宋体" w:hAnsi="宋体"/>
          <w:color w:val="auto"/>
          <w:sz w:val="24"/>
        </w:rPr>
        <w:t>属</w:t>
      </w:r>
      <w:r>
        <w:rPr>
          <w:rFonts w:hint="eastAsia" w:ascii="宋体" w:hAnsi="宋体"/>
          <w:color w:val="auto"/>
          <w:sz w:val="24"/>
        </w:rPr>
        <w:t>“</w:t>
      </w:r>
      <w:r>
        <w:rPr>
          <w:rFonts w:ascii="宋体" w:hAnsi="宋体"/>
          <w:color w:val="auto"/>
          <w:sz w:val="24"/>
        </w:rPr>
        <w:t>灾难性的</w:t>
      </w:r>
      <w:r>
        <w:rPr>
          <w:rFonts w:hint="eastAsia" w:ascii="宋体" w:hAnsi="宋体"/>
          <w:color w:val="auto"/>
          <w:sz w:val="24"/>
        </w:rPr>
        <w:t>”</w:t>
      </w:r>
      <w:r>
        <w:rPr>
          <w:rFonts w:ascii="宋体" w:hAnsi="宋体"/>
          <w:color w:val="auto"/>
          <w:sz w:val="24"/>
        </w:rPr>
        <w:t>有：滑坡坍塌，其存在场所应高度重视，立即采取预防和控制的对策措施予以果断排除，防范事故的发生</w:t>
      </w:r>
      <w:r>
        <w:rPr>
          <w:rFonts w:hint="eastAsia" w:ascii="宋体" w:hAnsi="宋体"/>
          <w:color w:val="auto"/>
          <w:sz w:val="24"/>
        </w:rPr>
        <w:t>。</w:t>
      </w:r>
    </w:p>
    <w:p>
      <w:pPr>
        <w:widowControl/>
        <w:spacing w:line="500" w:lineRule="exact"/>
        <w:ind w:firstLine="480" w:firstLineChars="200"/>
        <w:rPr>
          <w:rFonts w:ascii="宋体" w:hAnsi="宋体"/>
          <w:color w:val="auto"/>
          <w:sz w:val="24"/>
        </w:rPr>
      </w:pPr>
      <w:r>
        <w:rPr>
          <w:rFonts w:ascii="宋体" w:hAnsi="宋体"/>
          <w:color w:val="auto"/>
          <w:sz w:val="24"/>
        </w:rPr>
        <w:t>属</w:t>
      </w:r>
      <w:r>
        <w:rPr>
          <w:rFonts w:hint="eastAsia" w:ascii="宋体" w:hAnsi="宋体"/>
          <w:color w:val="auto"/>
          <w:sz w:val="24"/>
        </w:rPr>
        <w:t>“</w:t>
      </w:r>
      <w:r>
        <w:rPr>
          <w:rFonts w:ascii="宋体" w:hAnsi="宋体"/>
          <w:color w:val="auto"/>
          <w:sz w:val="24"/>
        </w:rPr>
        <w:t>危险的</w:t>
      </w:r>
      <w:r>
        <w:rPr>
          <w:rFonts w:hint="eastAsia" w:ascii="宋体" w:hAnsi="宋体"/>
          <w:color w:val="auto"/>
          <w:sz w:val="24"/>
        </w:rPr>
        <w:t>”</w:t>
      </w:r>
      <w:r>
        <w:rPr>
          <w:rFonts w:ascii="宋体" w:hAnsi="宋体"/>
          <w:color w:val="auto"/>
          <w:sz w:val="24"/>
        </w:rPr>
        <w:t>有：高处坠落、物体打击、车辆伤害、机械伤害、火灾、触电、粉尘等，其存在场所要采取防范措施</w:t>
      </w:r>
      <w:r>
        <w:rPr>
          <w:rFonts w:hint="eastAsia" w:ascii="宋体" w:hAnsi="宋体"/>
          <w:color w:val="auto"/>
          <w:sz w:val="24"/>
        </w:rPr>
        <w:t>。</w:t>
      </w:r>
    </w:p>
    <w:p>
      <w:pPr>
        <w:widowControl/>
        <w:spacing w:line="500" w:lineRule="exact"/>
        <w:ind w:firstLine="480" w:firstLineChars="200"/>
        <w:rPr>
          <w:rFonts w:ascii="宋体" w:hAnsi="宋体"/>
          <w:color w:val="auto"/>
          <w:sz w:val="24"/>
        </w:rPr>
      </w:pPr>
      <w:r>
        <w:rPr>
          <w:rFonts w:ascii="宋体" w:hAnsi="宋体"/>
          <w:color w:val="auto"/>
          <w:sz w:val="24"/>
        </w:rPr>
        <w:t>危险性等级在</w:t>
      </w:r>
      <w:r>
        <w:rPr>
          <w:rFonts w:hint="eastAsia" w:ascii="宋体" w:hAnsi="宋体"/>
          <w:color w:val="auto"/>
          <w:sz w:val="24"/>
        </w:rPr>
        <w:t>“</w:t>
      </w:r>
      <w:r>
        <w:rPr>
          <w:rFonts w:ascii="宋体" w:hAnsi="宋体"/>
          <w:color w:val="auto"/>
          <w:sz w:val="24"/>
        </w:rPr>
        <w:t>临界的</w:t>
      </w:r>
      <w:r>
        <w:rPr>
          <w:rFonts w:hint="eastAsia" w:ascii="宋体" w:hAnsi="宋体"/>
          <w:color w:val="auto"/>
          <w:sz w:val="24"/>
        </w:rPr>
        <w:t>”</w:t>
      </w:r>
      <w:r>
        <w:rPr>
          <w:rFonts w:ascii="宋体" w:hAnsi="宋体"/>
          <w:color w:val="auto"/>
          <w:sz w:val="24"/>
        </w:rPr>
        <w:t>有：高温</w:t>
      </w:r>
      <w:r>
        <w:rPr>
          <w:rFonts w:hint="eastAsia" w:ascii="宋体" w:hAnsi="宋体"/>
          <w:color w:val="auto"/>
          <w:sz w:val="24"/>
        </w:rPr>
        <w:t>中暑、</w:t>
      </w:r>
      <w:r>
        <w:rPr>
          <w:rFonts w:ascii="宋体" w:hAnsi="宋体"/>
          <w:color w:val="auto"/>
          <w:sz w:val="24"/>
        </w:rPr>
        <w:t>噪声、振动</w:t>
      </w:r>
      <w:r>
        <w:rPr>
          <w:rFonts w:hint="eastAsia" w:ascii="宋体" w:hAnsi="宋体"/>
          <w:color w:val="auto"/>
          <w:sz w:val="24"/>
        </w:rPr>
        <w:t>、辐射</w:t>
      </w:r>
      <w:r>
        <w:rPr>
          <w:rFonts w:ascii="宋体" w:hAnsi="宋体"/>
          <w:color w:val="auto"/>
          <w:sz w:val="24"/>
        </w:rPr>
        <w:t>等，需在今后生产过程中对存在场所加以排除和控制预防</w:t>
      </w:r>
      <w:r>
        <w:rPr>
          <w:rFonts w:hint="eastAsia" w:ascii="宋体" w:hAnsi="宋体"/>
          <w:color w:val="auto"/>
          <w:sz w:val="24"/>
        </w:rPr>
        <w:t>。</w:t>
      </w:r>
    </w:p>
    <w:p>
      <w:pPr>
        <w:widowControl/>
        <w:spacing w:line="500" w:lineRule="exact"/>
        <w:ind w:firstLine="480" w:firstLineChars="200"/>
        <w:rPr>
          <w:rFonts w:ascii="宋体" w:hAnsi="宋体"/>
          <w:color w:val="auto"/>
          <w:sz w:val="24"/>
        </w:rPr>
      </w:pPr>
      <w:r>
        <w:rPr>
          <w:rFonts w:hint="eastAsia" w:ascii="宋体" w:hAnsi="宋体"/>
          <w:color w:val="auto"/>
          <w:sz w:val="24"/>
        </w:rPr>
        <w:t>2）</w:t>
      </w:r>
      <w:r>
        <w:rPr>
          <w:rFonts w:ascii="宋体" w:hAnsi="宋体"/>
          <w:color w:val="auto"/>
          <w:sz w:val="24"/>
        </w:rPr>
        <w:t>通过以上分析得知，该建设项目在生产过程中存在的危险</w:t>
      </w:r>
      <w:r>
        <w:rPr>
          <w:rFonts w:hint="eastAsia" w:ascii="宋体" w:hAnsi="宋体"/>
          <w:color w:val="auto"/>
          <w:sz w:val="24"/>
        </w:rPr>
        <w:t>、有害</w:t>
      </w:r>
      <w:r>
        <w:rPr>
          <w:rFonts w:ascii="宋体" w:hAnsi="宋体"/>
          <w:color w:val="auto"/>
          <w:sz w:val="24"/>
        </w:rPr>
        <w:t>因素有：</w:t>
      </w:r>
      <w:r>
        <w:rPr>
          <w:rFonts w:hint="eastAsia" w:ascii="宋体" w:hAnsi="宋体"/>
          <w:color w:val="auto"/>
          <w:sz w:val="24"/>
        </w:rPr>
        <w:t>坍塌（滑坡）、物体打击、高处坠落、车辆伤害、机械伤害、触电、火灾，有害因素有：粉尘、噪声、振动及高温中暑。</w:t>
      </w:r>
    </w:p>
    <w:p>
      <w:pPr>
        <w:widowControl/>
        <w:spacing w:line="500" w:lineRule="exact"/>
        <w:ind w:firstLine="480" w:firstLineChars="200"/>
        <w:rPr>
          <w:rFonts w:ascii="宋体" w:hAnsi="宋体"/>
          <w:color w:val="auto"/>
          <w:sz w:val="24"/>
        </w:rPr>
      </w:pPr>
      <w:r>
        <w:rPr>
          <w:rFonts w:hint="eastAsia" w:ascii="宋体" w:hAnsi="宋体"/>
          <w:color w:val="auto"/>
          <w:sz w:val="24"/>
        </w:rPr>
        <w:t>该新建项目不构成重大危险源。主要危险有害因素分布如表3-</w:t>
      </w:r>
      <w:r>
        <w:rPr>
          <w:rFonts w:ascii="宋体" w:hAnsi="宋体"/>
          <w:color w:val="auto"/>
          <w:sz w:val="24"/>
        </w:rPr>
        <w:t>10</w:t>
      </w:r>
      <w:r>
        <w:rPr>
          <w:rFonts w:hint="eastAsia" w:ascii="宋体" w:hAnsi="宋体"/>
          <w:color w:val="auto"/>
          <w:sz w:val="24"/>
        </w:rPr>
        <w:t>。</w:t>
      </w:r>
    </w:p>
    <w:p>
      <w:pPr>
        <w:widowControl/>
        <w:spacing w:line="500" w:lineRule="exact"/>
        <w:jc w:val="center"/>
        <w:outlineLvl w:val="4"/>
        <w:rPr>
          <w:rFonts w:ascii="宋体" w:hAnsi="宋体"/>
          <w:b/>
          <w:color w:val="auto"/>
          <w:sz w:val="24"/>
        </w:rPr>
      </w:pPr>
      <w:r>
        <w:rPr>
          <w:rFonts w:ascii="宋体" w:hAnsi="宋体"/>
          <w:b/>
          <w:color w:val="auto"/>
          <w:sz w:val="24"/>
        </w:rPr>
        <w:t>表3-10</w:t>
      </w:r>
      <w:r>
        <w:rPr>
          <w:rFonts w:hint="eastAsia" w:ascii="宋体" w:hAnsi="宋体"/>
          <w:b/>
          <w:color w:val="auto"/>
          <w:sz w:val="24"/>
        </w:rPr>
        <w:t xml:space="preserve"> </w:t>
      </w:r>
      <w:r>
        <w:rPr>
          <w:rFonts w:ascii="宋体" w:hAnsi="宋体"/>
          <w:b/>
          <w:color w:val="auto"/>
          <w:sz w:val="24"/>
        </w:rPr>
        <w:t>主要危险有害因素分布情况表</w:t>
      </w:r>
    </w:p>
    <w:tbl>
      <w:tblPr>
        <w:tblStyle w:val="41"/>
        <w:tblW w:w="879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04"/>
        <w:gridCol w:w="624"/>
        <w:gridCol w:w="624"/>
        <w:gridCol w:w="624"/>
        <w:gridCol w:w="624"/>
        <w:gridCol w:w="624"/>
        <w:gridCol w:w="624"/>
        <w:gridCol w:w="624"/>
        <w:gridCol w:w="624"/>
        <w:gridCol w:w="624"/>
        <w:gridCol w:w="624"/>
        <w:gridCol w:w="624"/>
        <w:gridCol w:w="62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43" w:hRule="atLeast"/>
          <w:tblHeader/>
          <w:jc w:val="center"/>
        </w:trPr>
        <w:tc>
          <w:tcPr>
            <w:tcW w:w="1304" w:type="dxa"/>
            <w:vAlign w:val="center"/>
          </w:tcPr>
          <w:p>
            <w:pPr>
              <w:widowControl/>
              <w:snapToGrid w:val="0"/>
              <w:spacing w:line="440" w:lineRule="exact"/>
              <w:ind w:firstLine="420"/>
              <w:jc w:val="right"/>
              <w:rPr>
                <w:rFonts w:ascii="宋体" w:hAnsi="宋体"/>
                <w:b/>
                <w:color w:val="auto"/>
                <w:sz w:val="18"/>
                <w:szCs w:val="18"/>
              </w:rPr>
            </w:pPr>
            <w:r>
              <w:rPr>
                <w:rFonts w:ascii="宋体" w:hAnsi="宋体"/>
                <w:b/>
                <w:color w:val="auto"/>
                <w:sz w:val="18"/>
                <w:szCs w:val="18"/>
              </w:rPr>
              <mc:AlternateContent>
                <mc:Choice Requires="wps">
                  <w:drawing>
                    <wp:anchor distT="0" distB="0" distL="114300" distR="114300" simplePos="0" relativeHeight="251660288" behindDoc="0" locked="0" layoutInCell="1" allowOverlap="1">
                      <wp:simplePos x="0" y="0"/>
                      <wp:positionH relativeFrom="column">
                        <wp:posOffset>-17780</wp:posOffset>
                      </wp:positionH>
                      <wp:positionV relativeFrom="paragraph">
                        <wp:posOffset>1270</wp:posOffset>
                      </wp:positionV>
                      <wp:extent cx="704850" cy="1666875"/>
                      <wp:effectExtent l="0" t="0" r="6350" b="9525"/>
                      <wp:wrapNone/>
                      <wp:docPr id="1119746146" name="自选图形 2"/>
                      <wp:cNvGraphicFramePr/>
                      <a:graphic xmlns:a="http://schemas.openxmlformats.org/drawingml/2006/main">
                        <a:graphicData uri="http://schemas.microsoft.com/office/word/2010/wordprocessingShape">
                          <wps:wsp>
                            <wps:cNvCnPr/>
                            <wps:spPr bwMode="auto">
                              <a:xfrm>
                                <a:off x="0" y="0"/>
                                <a:ext cx="704850" cy="1666875"/>
                              </a:xfrm>
                              <a:prstGeom prst="straightConnector1">
                                <a:avLst/>
                              </a:prstGeom>
                              <a:noFill/>
                              <a:ln w="9525">
                                <a:solidFill>
                                  <a:srgbClr val="000000"/>
                                </a:solidFill>
                                <a:round/>
                              </a:ln>
                            </wps:spPr>
                            <wps:bodyPr/>
                          </wps:wsp>
                        </a:graphicData>
                      </a:graphic>
                    </wp:anchor>
                  </w:drawing>
                </mc:Choice>
                <mc:Fallback>
                  <w:pict>
                    <v:shape id="自选图形 2" o:spid="_x0000_s1026" o:spt="32" type="#_x0000_t32" style="position:absolute;left:0pt;margin-left:-1.4pt;margin-top:0.1pt;height:131.25pt;width:55.5pt;z-index:251660288;mso-width-relative:page;mso-height-relative:page;" filled="f" stroked="t" coordsize="21600,21600" o:gfxdata="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">
                      <v:fill on="f" focussize="0,0"/>
                      <v:stroke color="#000000" joinstyle="round"/>
                      <v:imagedata o:title=""/>
                      <o:lock v:ext="edit" aspectratio="f"/>
                    </v:shape>
                  </w:pict>
                </mc:Fallback>
              </mc:AlternateContent>
            </w:r>
            <w:r>
              <w:rPr>
                <w:rFonts w:hint="eastAsia" w:ascii="宋体" w:hAnsi="宋体"/>
                <w:b/>
                <w:color w:val="auto"/>
                <w:sz w:val="18"/>
                <w:szCs w:val="18"/>
              </w:rPr>
              <w:t>危险</w:t>
            </w:r>
          </w:p>
          <w:p>
            <w:pPr>
              <w:widowControl/>
              <w:snapToGrid w:val="0"/>
              <w:spacing w:line="440" w:lineRule="exact"/>
              <w:ind w:firstLine="420"/>
              <w:jc w:val="right"/>
              <w:rPr>
                <w:rFonts w:ascii="宋体" w:hAnsi="宋体"/>
                <w:b/>
                <w:color w:val="auto"/>
                <w:sz w:val="18"/>
                <w:szCs w:val="18"/>
              </w:rPr>
            </w:pPr>
            <w:r>
              <w:rPr>
                <w:rFonts w:hint="eastAsia" w:ascii="宋体" w:hAnsi="宋体"/>
                <w:b/>
                <w:color w:val="auto"/>
                <w:sz w:val="18"/>
                <w:szCs w:val="18"/>
              </w:rPr>
              <w:t>有害</w:t>
            </w:r>
          </w:p>
          <w:p>
            <w:pPr>
              <w:widowControl/>
              <w:snapToGrid w:val="0"/>
              <w:spacing w:line="440" w:lineRule="exact"/>
              <w:ind w:firstLine="420"/>
              <w:jc w:val="right"/>
              <w:rPr>
                <w:rFonts w:ascii="宋体" w:hAnsi="宋体"/>
                <w:b/>
                <w:color w:val="auto"/>
                <w:sz w:val="18"/>
                <w:szCs w:val="18"/>
              </w:rPr>
            </w:pPr>
            <w:r>
              <w:rPr>
                <w:rFonts w:hint="eastAsia" w:ascii="宋体" w:hAnsi="宋体"/>
                <w:b/>
                <w:color w:val="auto"/>
                <w:sz w:val="18"/>
                <w:szCs w:val="18"/>
              </w:rPr>
              <w:t>因素</w:t>
            </w:r>
          </w:p>
          <w:p>
            <w:pPr>
              <w:widowControl/>
              <w:snapToGrid w:val="0"/>
              <w:spacing w:line="440" w:lineRule="exact"/>
              <w:jc w:val="center"/>
              <w:rPr>
                <w:rFonts w:ascii="宋体" w:hAnsi="宋体"/>
                <w:b/>
                <w:color w:val="auto"/>
                <w:sz w:val="18"/>
                <w:szCs w:val="18"/>
              </w:rPr>
            </w:pPr>
          </w:p>
          <w:p>
            <w:pPr>
              <w:widowControl/>
              <w:snapToGrid w:val="0"/>
              <w:spacing w:line="440" w:lineRule="exact"/>
              <w:jc w:val="left"/>
              <w:rPr>
                <w:rFonts w:ascii="宋体" w:hAnsi="宋体"/>
                <w:b/>
                <w:color w:val="auto"/>
                <w:sz w:val="18"/>
                <w:szCs w:val="18"/>
              </w:rPr>
            </w:pPr>
            <w:r>
              <w:rPr>
                <w:rFonts w:hint="eastAsia" w:ascii="宋体" w:hAnsi="宋体"/>
                <w:b/>
                <w:color w:val="auto"/>
                <w:sz w:val="18"/>
                <w:szCs w:val="18"/>
              </w:rPr>
              <w:t>存在</w:t>
            </w:r>
          </w:p>
          <w:p>
            <w:pPr>
              <w:widowControl/>
              <w:snapToGrid w:val="0"/>
              <w:spacing w:line="440" w:lineRule="exact"/>
              <w:jc w:val="left"/>
              <w:rPr>
                <w:rFonts w:ascii="宋体" w:hAnsi="宋体"/>
                <w:b/>
                <w:color w:val="auto"/>
                <w:sz w:val="18"/>
                <w:szCs w:val="18"/>
              </w:rPr>
            </w:pPr>
            <w:r>
              <w:rPr>
                <w:rFonts w:hint="eastAsia" w:ascii="宋体" w:hAnsi="宋体"/>
                <w:b/>
                <w:color w:val="auto"/>
                <w:sz w:val="18"/>
                <w:szCs w:val="18"/>
              </w:rPr>
              <w:t>场所</w:t>
            </w:r>
          </w:p>
        </w:tc>
        <w:tc>
          <w:tcPr>
            <w:tcW w:w="624" w:type="dxa"/>
            <w:vAlign w:val="center"/>
          </w:tcPr>
          <w:p>
            <w:pPr>
              <w:widowControl/>
              <w:snapToGrid w:val="0"/>
              <w:jc w:val="center"/>
              <w:rPr>
                <w:rFonts w:ascii="宋体" w:hAnsi="宋体"/>
                <w:b/>
                <w:color w:val="auto"/>
                <w:sz w:val="18"/>
                <w:szCs w:val="18"/>
              </w:rPr>
            </w:pPr>
            <w:r>
              <w:rPr>
                <w:rFonts w:hint="eastAsia" w:ascii="宋体" w:hAnsi="宋体"/>
                <w:b/>
                <w:color w:val="auto"/>
                <w:sz w:val="18"/>
                <w:szCs w:val="18"/>
              </w:rPr>
              <w:t>坍塌滑坡</w:t>
            </w:r>
          </w:p>
        </w:tc>
        <w:tc>
          <w:tcPr>
            <w:tcW w:w="624" w:type="dxa"/>
            <w:vAlign w:val="center"/>
          </w:tcPr>
          <w:p>
            <w:pPr>
              <w:widowControl/>
              <w:snapToGrid w:val="0"/>
              <w:jc w:val="center"/>
              <w:rPr>
                <w:rFonts w:ascii="宋体" w:hAnsi="宋体"/>
                <w:b/>
                <w:color w:val="auto"/>
                <w:sz w:val="18"/>
                <w:szCs w:val="18"/>
              </w:rPr>
            </w:pPr>
            <w:r>
              <w:rPr>
                <w:rFonts w:hint="eastAsia" w:ascii="宋体" w:hAnsi="宋体"/>
                <w:b/>
                <w:color w:val="auto"/>
                <w:sz w:val="18"/>
                <w:szCs w:val="18"/>
              </w:rPr>
              <w:t>物体打击</w:t>
            </w:r>
          </w:p>
        </w:tc>
        <w:tc>
          <w:tcPr>
            <w:tcW w:w="624" w:type="dxa"/>
            <w:vAlign w:val="center"/>
          </w:tcPr>
          <w:p>
            <w:pPr>
              <w:widowControl/>
              <w:snapToGrid w:val="0"/>
              <w:jc w:val="center"/>
              <w:rPr>
                <w:rFonts w:ascii="宋体" w:hAnsi="宋体"/>
                <w:b/>
                <w:color w:val="auto"/>
                <w:sz w:val="18"/>
                <w:szCs w:val="18"/>
              </w:rPr>
            </w:pPr>
            <w:r>
              <w:rPr>
                <w:rFonts w:hint="eastAsia" w:ascii="宋体" w:hAnsi="宋体"/>
                <w:b/>
                <w:color w:val="auto"/>
                <w:sz w:val="18"/>
                <w:szCs w:val="18"/>
              </w:rPr>
              <w:t>高处坠落</w:t>
            </w:r>
          </w:p>
        </w:tc>
        <w:tc>
          <w:tcPr>
            <w:tcW w:w="624" w:type="dxa"/>
            <w:vAlign w:val="center"/>
          </w:tcPr>
          <w:p>
            <w:pPr>
              <w:widowControl/>
              <w:snapToGrid w:val="0"/>
              <w:jc w:val="center"/>
              <w:rPr>
                <w:rFonts w:ascii="宋体" w:hAnsi="宋体"/>
                <w:b/>
                <w:color w:val="auto"/>
                <w:sz w:val="18"/>
                <w:szCs w:val="18"/>
              </w:rPr>
            </w:pPr>
            <w:r>
              <w:rPr>
                <w:rFonts w:hint="eastAsia" w:ascii="宋体" w:hAnsi="宋体"/>
                <w:b/>
                <w:color w:val="auto"/>
                <w:sz w:val="18"/>
                <w:szCs w:val="18"/>
              </w:rPr>
              <w:t>车辆伤害</w:t>
            </w:r>
          </w:p>
        </w:tc>
        <w:tc>
          <w:tcPr>
            <w:tcW w:w="624" w:type="dxa"/>
            <w:vAlign w:val="center"/>
          </w:tcPr>
          <w:p>
            <w:pPr>
              <w:widowControl/>
              <w:snapToGrid w:val="0"/>
              <w:jc w:val="center"/>
              <w:rPr>
                <w:rFonts w:ascii="宋体" w:hAnsi="宋体"/>
                <w:b/>
                <w:color w:val="auto"/>
                <w:sz w:val="18"/>
                <w:szCs w:val="18"/>
              </w:rPr>
            </w:pPr>
            <w:r>
              <w:rPr>
                <w:rFonts w:hint="eastAsia" w:ascii="宋体" w:hAnsi="宋体"/>
                <w:b/>
                <w:color w:val="auto"/>
                <w:sz w:val="18"/>
                <w:szCs w:val="18"/>
              </w:rPr>
              <w:t>机械伤害</w:t>
            </w:r>
          </w:p>
        </w:tc>
        <w:tc>
          <w:tcPr>
            <w:tcW w:w="624" w:type="dxa"/>
            <w:vAlign w:val="center"/>
          </w:tcPr>
          <w:p>
            <w:pPr>
              <w:widowControl/>
              <w:snapToGrid w:val="0"/>
              <w:jc w:val="center"/>
              <w:rPr>
                <w:rFonts w:ascii="宋体" w:hAnsi="宋体"/>
                <w:b/>
                <w:color w:val="auto"/>
                <w:sz w:val="18"/>
                <w:szCs w:val="18"/>
              </w:rPr>
            </w:pPr>
            <w:r>
              <w:rPr>
                <w:rFonts w:hint="eastAsia" w:ascii="宋体" w:hAnsi="宋体"/>
                <w:b/>
                <w:color w:val="auto"/>
                <w:sz w:val="18"/>
                <w:szCs w:val="18"/>
              </w:rPr>
              <w:t>触电</w:t>
            </w:r>
          </w:p>
          <w:p>
            <w:pPr>
              <w:widowControl/>
              <w:snapToGrid w:val="0"/>
              <w:jc w:val="center"/>
              <w:rPr>
                <w:rFonts w:ascii="宋体" w:hAnsi="宋体"/>
                <w:b/>
                <w:color w:val="auto"/>
                <w:sz w:val="18"/>
                <w:szCs w:val="18"/>
              </w:rPr>
            </w:pPr>
            <w:r>
              <w:rPr>
                <w:rFonts w:hint="eastAsia" w:ascii="宋体" w:hAnsi="宋体"/>
                <w:b/>
                <w:color w:val="auto"/>
                <w:sz w:val="18"/>
                <w:szCs w:val="18"/>
              </w:rPr>
              <w:t>雷击</w:t>
            </w:r>
          </w:p>
        </w:tc>
        <w:tc>
          <w:tcPr>
            <w:tcW w:w="624" w:type="dxa"/>
            <w:vAlign w:val="center"/>
          </w:tcPr>
          <w:p>
            <w:pPr>
              <w:widowControl/>
              <w:snapToGrid w:val="0"/>
              <w:jc w:val="center"/>
              <w:rPr>
                <w:rFonts w:ascii="宋体" w:hAnsi="宋体"/>
                <w:b/>
                <w:color w:val="auto"/>
                <w:sz w:val="18"/>
                <w:szCs w:val="18"/>
              </w:rPr>
            </w:pPr>
            <w:r>
              <w:rPr>
                <w:rFonts w:hint="eastAsia" w:ascii="宋体" w:hAnsi="宋体"/>
                <w:b/>
                <w:color w:val="auto"/>
                <w:sz w:val="18"/>
                <w:szCs w:val="18"/>
              </w:rPr>
              <w:t>火灾</w:t>
            </w:r>
          </w:p>
        </w:tc>
        <w:tc>
          <w:tcPr>
            <w:tcW w:w="624" w:type="dxa"/>
            <w:vAlign w:val="center"/>
          </w:tcPr>
          <w:p>
            <w:pPr>
              <w:widowControl/>
              <w:snapToGrid w:val="0"/>
              <w:jc w:val="center"/>
              <w:rPr>
                <w:rFonts w:ascii="宋体" w:hAnsi="宋体"/>
                <w:b/>
                <w:color w:val="auto"/>
                <w:sz w:val="18"/>
                <w:szCs w:val="18"/>
              </w:rPr>
            </w:pPr>
            <w:r>
              <w:rPr>
                <w:rFonts w:hint="eastAsia" w:ascii="宋体" w:hAnsi="宋体"/>
                <w:b/>
                <w:color w:val="auto"/>
                <w:sz w:val="18"/>
                <w:szCs w:val="18"/>
              </w:rPr>
              <w:t>粉尘</w:t>
            </w:r>
          </w:p>
        </w:tc>
        <w:tc>
          <w:tcPr>
            <w:tcW w:w="624" w:type="dxa"/>
            <w:vAlign w:val="center"/>
          </w:tcPr>
          <w:p>
            <w:pPr>
              <w:widowControl/>
              <w:snapToGrid w:val="0"/>
              <w:jc w:val="center"/>
              <w:rPr>
                <w:rFonts w:ascii="宋体" w:hAnsi="宋体"/>
                <w:b/>
                <w:color w:val="auto"/>
                <w:sz w:val="18"/>
                <w:szCs w:val="18"/>
              </w:rPr>
            </w:pPr>
            <w:r>
              <w:rPr>
                <w:rFonts w:hint="eastAsia" w:ascii="宋体" w:hAnsi="宋体"/>
                <w:b/>
                <w:color w:val="auto"/>
                <w:sz w:val="18"/>
                <w:szCs w:val="18"/>
              </w:rPr>
              <w:t>噪声</w:t>
            </w:r>
          </w:p>
        </w:tc>
        <w:tc>
          <w:tcPr>
            <w:tcW w:w="624" w:type="dxa"/>
            <w:vAlign w:val="center"/>
          </w:tcPr>
          <w:p>
            <w:pPr>
              <w:widowControl/>
              <w:snapToGrid w:val="0"/>
              <w:jc w:val="center"/>
              <w:rPr>
                <w:rFonts w:ascii="宋体" w:hAnsi="宋体"/>
                <w:b/>
                <w:color w:val="auto"/>
                <w:sz w:val="18"/>
                <w:szCs w:val="18"/>
              </w:rPr>
            </w:pPr>
            <w:r>
              <w:rPr>
                <w:rFonts w:hint="eastAsia" w:ascii="宋体" w:hAnsi="宋体"/>
                <w:b/>
                <w:color w:val="auto"/>
                <w:sz w:val="18"/>
                <w:szCs w:val="18"/>
              </w:rPr>
              <w:t>振动</w:t>
            </w:r>
          </w:p>
        </w:tc>
        <w:tc>
          <w:tcPr>
            <w:tcW w:w="624" w:type="dxa"/>
            <w:vAlign w:val="center"/>
          </w:tcPr>
          <w:p>
            <w:pPr>
              <w:widowControl/>
              <w:snapToGrid w:val="0"/>
              <w:jc w:val="center"/>
              <w:rPr>
                <w:rFonts w:ascii="宋体" w:hAnsi="宋体"/>
                <w:b/>
                <w:color w:val="auto"/>
                <w:sz w:val="18"/>
                <w:szCs w:val="18"/>
              </w:rPr>
            </w:pPr>
            <w:r>
              <w:rPr>
                <w:rFonts w:hint="eastAsia" w:ascii="宋体" w:hAnsi="宋体"/>
                <w:b/>
                <w:color w:val="auto"/>
                <w:sz w:val="18"/>
                <w:szCs w:val="18"/>
              </w:rPr>
              <w:t>辐射</w:t>
            </w:r>
          </w:p>
        </w:tc>
        <w:tc>
          <w:tcPr>
            <w:tcW w:w="624" w:type="dxa"/>
            <w:vAlign w:val="center"/>
          </w:tcPr>
          <w:p>
            <w:pPr>
              <w:widowControl/>
              <w:snapToGrid w:val="0"/>
              <w:jc w:val="center"/>
              <w:rPr>
                <w:rFonts w:ascii="宋体" w:hAnsi="宋体"/>
                <w:b/>
                <w:color w:val="auto"/>
                <w:sz w:val="18"/>
                <w:szCs w:val="18"/>
              </w:rPr>
            </w:pPr>
            <w:r>
              <w:rPr>
                <w:rFonts w:hint="eastAsia" w:ascii="宋体" w:hAnsi="宋体"/>
                <w:b/>
                <w:color w:val="auto"/>
                <w:sz w:val="18"/>
                <w:szCs w:val="18"/>
              </w:rPr>
              <w:t>高温中暑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04" w:type="dxa"/>
            <w:vAlign w:val="center"/>
          </w:tcPr>
          <w:p>
            <w:pPr>
              <w:widowControl/>
              <w:jc w:val="center"/>
              <w:rPr>
                <w:rFonts w:ascii="宋体" w:hAnsi="宋体"/>
                <w:b/>
                <w:color w:val="auto"/>
                <w:sz w:val="18"/>
                <w:szCs w:val="18"/>
              </w:rPr>
            </w:pPr>
            <w:r>
              <w:rPr>
                <w:rFonts w:hint="eastAsia" w:ascii="宋体" w:hAnsi="宋体"/>
                <w:b/>
                <w:color w:val="auto"/>
                <w:sz w:val="18"/>
                <w:szCs w:val="18"/>
              </w:rPr>
              <w:t>采场</w:t>
            </w:r>
          </w:p>
        </w:tc>
        <w:tc>
          <w:tcPr>
            <w:tcW w:w="624" w:type="dxa"/>
            <w:vAlign w:val="center"/>
          </w:tcPr>
          <w:p>
            <w:pPr>
              <w:widowControl/>
              <w:snapToGrid w:val="0"/>
              <w:jc w:val="center"/>
              <w:rPr>
                <w:rFonts w:ascii="宋体" w:hAnsi="宋体"/>
                <w:b/>
                <w:bCs/>
                <w:color w:val="auto"/>
                <w:sz w:val="18"/>
                <w:szCs w:val="18"/>
              </w:rPr>
            </w:pPr>
            <w:r>
              <w:rPr>
                <w:rFonts w:hint="eastAsia" w:ascii="宋体" w:hAnsi="宋体"/>
                <w:color w:val="auto"/>
                <w:sz w:val="18"/>
                <w:szCs w:val="18"/>
              </w:rPr>
              <w:t>○</w:t>
            </w:r>
          </w:p>
        </w:tc>
        <w:tc>
          <w:tcPr>
            <w:tcW w:w="624" w:type="dxa"/>
            <w:vAlign w:val="center"/>
          </w:tcPr>
          <w:p>
            <w:pPr>
              <w:widowControl/>
              <w:snapToGrid w:val="0"/>
              <w:jc w:val="center"/>
              <w:rPr>
                <w:rFonts w:ascii="宋体" w:hAnsi="宋体"/>
                <w:b/>
                <w:bCs/>
                <w:color w:val="auto"/>
                <w:sz w:val="18"/>
                <w:szCs w:val="18"/>
              </w:rPr>
            </w:pPr>
            <w:r>
              <w:rPr>
                <w:rFonts w:hint="eastAsia" w:ascii="宋体" w:hAnsi="宋体"/>
                <w:color w:val="auto"/>
                <w:sz w:val="18"/>
                <w:szCs w:val="18"/>
              </w:rPr>
              <w:t>○</w:t>
            </w:r>
          </w:p>
        </w:tc>
        <w:tc>
          <w:tcPr>
            <w:tcW w:w="624" w:type="dxa"/>
            <w:vAlign w:val="center"/>
          </w:tcPr>
          <w:p>
            <w:pPr>
              <w:widowControl/>
              <w:snapToGrid w:val="0"/>
              <w:jc w:val="center"/>
              <w:rPr>
                <w:rFonts w:ascii="宋体" w:hAnsi="宋体"/>
                <w:b/>
                <w:bCs/>
                <w:color w:val="auto"/>
                <w:sz w:val="18"/>
                <w:szCs w:val="18"/>
              </w:rPr>
            </w:pPr>
            <w:r>
              <w:rPr>
                <w:rFonts w:hint="eastAsia" w:ascii="宋体" w:hAnsi="宋体"/>
                <w:color w:val="auto"/>
                <w:sz w:val="18"/>
                <w:szCs w:val="18"/>
              </w:rPr>
              <w:t>○</w:t>
            </w:r>
          </w:p>
        </w:tc>
        <w:tc>
          <w:tcPr>
            <w:tcW w:w="624" w:type="dxa"/>
            <w:vAlign w:val="center"/>
          </w:tcPr>
          <w:p>
            <w:pPr>
              <w:widowControl/>
              <w:snapToGrid w:val="0"/>
              <w:jc w:val="center"/>
              <w:rPr>
                <w:rFonts w:ascii="宋体" w:hAnsi="宋体"/>
                <w:b/>
                <w:bCs/>
                <w:color w:val="auto"/>
                <w:sz w:val="18"/>
                <w:szCs w:val="18"/>
              </w:rPr>
            </w:pPr>
            <w:r>
              <w:rPr>
                <w:rFonts w:hint="eastAsia" w:ascii="宋体" w:hAnsi="宋体"/>
                <w:color w:val="auto"/>
                <w:sz w:val="18"/>
                <w:szCs w:val="18"/>
              </w:rPr>
              <w:t>○</w:t>
            </w:r>
          </w:p>
        </w:tc>
        <w:tc>
          <w:tcPr>
            <w:tcW w:w="624" w:type="dxa"/>
            <w:vAlign w:val="center"/>
          </w:tcPr>
          <w:p>
            <w:pPr>
              <w:widowControl/>
              <w:snapToGrid w:val="0"/>
              <w:jc w:val="center"/>
              <w:rPr>
                <w:rFonts w:ascii="宋体" w:hAnsi="宋体"/>
                <w:b/>
                <w:bCs/>
                <w:color w:val="auto"/>
                <w:sz w:val="18"/>
                <w:szCs w:val="18"/>
              </w:rPr>
            </w:pPr>
            <w:r>
              <w:rPr>
                <w:rFonts w:hint="eastAsia" w:ascii="宋体" w:hAnsi="宋体"/>
                <w:color w:val="auto"/>
                <w:sz w:val="18"/>
                <w:szCs w:val="18"/>
              </w:rPr>
              <w:t>○</w:t>
            </w:r>
          </w:p>
        </w:tc>
        <w:tc>
          <w:tcPr>
            <w:tcW w:w="624" w:type="dxa"/>
            <w:vAlign w:val="center"/>
          </w:tcPr>
          <w:p>
            <w:pPr>
              <w:widowControl/>
              <w:snapToGrid w:val="0"/>
              <w:jc w:val="center"/>
              <w:rPr>
                <w:rFonts w:ascii="宋体" w:hAnsi="宋体"/>
                <w:b/>
                <w:bCs/>
                <w:color w:val="auto"/>
                <w:sz w:val="18"/>
                <w:szCs w:val="18"/>
              </w:rPr>
            </w:pPr>
            <w:r>
              <w:rPr>
                <w:rFonts w:hint="eastAsia" w:ascii="宋体" w:hAnsi="宋体"/>
                <w:color w:val="auto"/>
                <w:sz w:val="18"/>
                <w:szCs w:val="18"/>
              </w:rPr>
              <w:t>○</w:t>
            </w:r>
          </w:p>
        </w:tc>
        <w:tc>
          <w:tcPr>
            <w:tcW w:w="624" w:type="dxa"/>
            <w:vAlign w:val="center"/>
          </w:tcPr>
          <w:p>
            <w:pPr>
              <w:widowControl/>
              <w:snapToGrid w:val="0"/>
              <w:jc w:val="center"/>
              <w:rPr>
                <w:rFonts w:ascii="宋体" w:hAnsi="宋体"/>
                <w:b/>
                <w:bCs/>
                <w:color w:val="auto"/>
                <w:sz w:val="18"/>
                <w:szCs w:val="18"/>
              </w:rPr>
            </w:pPr>
            <w:r>
              <w:rPr>
                <w:rFonts w:hint="eastAsia" w:ascii="宋体" w:hAnsi="宋体"/>
                <w:color w:val="auto"/>
                <w:sz w:val="18"/>
                <w:szCs w:val="18"/>
              </w:rPr>
              <w:t>○</w:t>
            </w:r>
          </w:p>
        </w:tc>
        <w:tc>
          <w:tcPr>
            <w:tcW w:w="624" w:type="dxa"/>
            <w:vAlign w:val="center"/>
          </w:tcPr>
          <w:p>
            <w:pPr>
              <w:widowControl/>
              <w:snapToGrid w:val="0"/>
              <w:jc w:val="center"/>
              <w:rPr>
                <w:rFonts w:ascii="宋体" w:hAnsi="宋体"/>
                <w:b/>
                <w:bCs/>
                <w:color w:val="auto"/>
                <w:sz w:val="18"/>
                <w:szCs w:val="18"/>
              </w:rPr>
            </w:pPr>
            <w:r>
              <w:rPr>
                <w:rFonts w:hint="eastAsia" w:ascii="宋体" w:hAnsi="宋体"/>
                <w:color w:val="auto"/>
                <w:sz w:val="18"/>
                <w:szCs w:val="18"/>
              </w:rPr>
              <w:t>○</w:t>
            </w:r>
          </w:p>
        </w:tc>
        <w:tc>
          <w:tcPr>
            <w:tcW w:w="624" w:type="dxa"/>
            <w:vAlign w:val="center"/>
          </w:tcPr>
          <w:p>
            <w:pPr>
              <w:widowControl/>
              <w:snapToGrid w:val="0"/>
              <w:jc w:val="center"/>
              <w:rPr>
                <w:rFonts w:ascii="宋体" w:hAnsi="宋体"/>
                <w:b/>
                <w:bCs/>
                <w:color w:val="auto"/>
                <w:sz w:val="18"/>
                <w:szCs w:val="18"/>
              </w:rPr>
            </w:pPr>
            <w:r>
              <w:rPr>
                <w:rFonts w:hint="eastAsia" w:ascii="宋体" w:hAnsi="宋体"/>
                <w:color w:val="auto"/>
                <w:sz w:val="18"/>
                <w:szCs w:val="18"/>
              </w:rPr>
              <w:t>○</w:t>
            </w:r>
          </w:p>
        </w:tc>
        <w:tc>
          <w:tcPr>
            <w:tcW w:w="624" w:type="dxa"/>
            <w:vAlign w:val="center"/>
          </w:tcPr>
          <w:p>
            <w:pPr>
              <w:widowControl/>
              <w:snapToGrid w:val="0"/>
              <w:jc w:val="center"/>
              <w:rPr>
                <w:rFonts w:ascii="宋体" w:hAnsi="宋体"/>
                <w:b/>
                <w:bCs/>
                <w:color w:val="auto"/>
                <w:sz w:val="18"/>
                <w:szCs w:val="18"/>
              </w:rPr>
            </w:pPr>
            <w:r>
              <w:rPr>
                <w:rFonts w:hint="eastAsia" w:ascii="宋体" w:hAnsi="宋体"/>
                <w:color w:val="auto"/>
                <w:sz w:val="18"/>
                <w:szCs w:val="18"/>
              </w:rPr>
              <w:t>○</w:t>
            </w:r>
          </w:p>
        </w:tc>
        <w:tc>
          <w:tcPr>
            <w:tcW w:w="624" w:type="dxa"/>
            <w:vAlign w:val="center"/>
          </w:tcPr>
          <w:p>
            <w:pPr>
              <w:widowControl/>
              <w:snapToGrid w:val="0"/>
              <w:jc w:val="center"/>
              <w:rPr>
                <w:rFonts w:ascii="宋体" w:hAnsi="宋体"/>
                <w:color w:val="auto"/>
                <w:sz w:val="18"/>
                <w:szCs w:val="18"/>
              </w:rPr>
            </w:pPr>
            <w:r>
              <w:rPr>
                <w:rFonts w:hint="eastAsia" w:ascii="宋体" w:hAnsi="宋体"/>
                <w:color w:val="auto"/>
                <w:sz w:val="18"/>
                <w:szCs w:val="18"/>
              </w:rPr>
              <w:t>○</w:t>
            </w:r>
          </w:p>
        </w:tc>
        <w:tc>
          <w:tcPr>
            <w:tcW w:w="624" w:type="dxa"/>
            <w:vAlign w:val="center"/>
          </w:tcPr>
          <w:p>
            <w:pPr>
              <w:widowControl/>
              <w:snapToGrid w:val="0"/>
              <w:jc w:val="center"/>
              <w:rPr>
                <w:rFonts w:ascii="宋体" w:hAnsi="宋体"/>
                <w:color w:val="auto"/>
                <w:sz w:val="18"/>
                <w:szCs w:val="18"/>
              </w:rPr>
            </w:pPr>
            <w:r>
              <w:rPr>
                <w:rFonts w:hint="eastAsia" w:ascii="宋体" w:hAnsi="宋体"/>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04" w:type="dxa"/>
            <w:vAlign w:val="center"/>
          </w:tcPr>
          <w:p>
            <w:pPr>
              <w:widowControl/>
              <w:jc w:val="center"/>
              <w:rPr>
                <w:rFonts w:ascii="宋体" w:hAnsi="宋体"/>
                <w:b/>
                <w:color w:val="auto"/>
                <w:sz w:val="18"/>
                <w:szCs w:val="18"/>
              </w:rPr>
            </w:pPr>
            <w:r>
              <w:rPr>
                <w:rFonts w:hint="eastAsia" w:ascii="宋体" w:hAnsi="宋体"/>
                <w:b/>
                <w:color w:val="auto"/>
                <w:sz w:val="18"/>
                <w:szCs w:val="18"/>
              </w:rPr>
              <w:t>排土场</w:t>
            </w:r>
          </w:p>
        </w:tc>
        <w:tc>
          <w:tcPr>
            <w:tcW w:w="624" w:type="dxa"/>
            <w:vAlign w:val="center"/>
          </w:tcPr>
          <w:p>
            <w:pPr>
              <w:widowControl/>
              <w:snapToGrid w:val="0"/>
              <w:jc w:val="center"/>
              <w:rPr>
                <w:rFonts w:ascii="宋体" w:hAnsi="宋体"/>
                <w:color w:val="auto"/>
                <w:sz w:val="18"/>
                <w:szCs w:val="18"/>
              </w:rPr>
            </w:pPr>
            <w:r>
              <w:rPr>
                <w:rFonts w:hint="eastAsia" w:ascii="宋体" w:hAnsi="宋体"/>
                <w:color w:val="auto"/>
                <w:sz w:val="18"/>
                <w:szCs w:val="18"/>
              </w:rPr>
              <w:t>○</w:t>
            </w:r>
          </w:p>
        </w:tc>
        <w:tc>
          <w:tcPr>
            <w:tcW w:w="624" w:type="dxa"/>
            <w:vAlign w:val="center"/>
          </w:tcPr>
          <w:p>
            <w:pPr>
              <w:widowControl/>
              <w:snapToGrid w:val="0"/>
              <w:jc w:val="center"/>
              <w:rPr>
                <w:rFonts w:ascii="宋体" w:hAnsi="宋体"/>
                <w:color w:val="auto"/>
                <w:sz w:val="18"/>
                <w:szCs w:val="18"/>
              </w:rPr>
            </w:pPr>
            <w:r>
              <w:rPr>
                <w:rFonts w:hint="eastAsia" w:ascii="宋体" w:hAnsi="宋体"/>
                <w:b/>
                <w:bCs/>
                <w:color w:val="auto"/>
                <w:sz w:val="18"/>
                <w:szCs w:val="18"/>
              </w:rPr>
              <w:t>-</w:t>
            </w:r>
          </w:p>
        </w:tc>
        <w:tc>
          <w:tcPr>
            <w:tcW w:w="624" w:type="dxa"/>
            <w:vAlign w:val="center"/>
          </w:tcPr>
          <w:p>
            <w:pPr>
              <w:widowControl/>
              <w:snapToGrid w:val="0"/>
              <w:jc w:val="center"/>
              <w:rPr>
                <w:rFonts w:ascii="宋体" w:hAnsi="宋体"/>
                <w:color w:val="auto"/>
                <w:sz w:val="18"/>
                <w:szCs w:val="18"/>
              </w:rPr>
            </w:pPr>
            <w:r>
              <w:rPr>
                <w:rFonts w:hint="eastAsia" w:ascii="宋体" w:hAnsi="宋体"/>
                <w:color w:val="auto"/>
                <w:sz w:val="18"/>
                <w:szCs w:val="18"/>
              </w:rPr>
              <w:t>○</w:t>
            </w:r>
          </w:p>
        </w:tc>
        <w:tc>
          <w:tcPr>
            <w:tcW w:w="624" w:type="dxa"/>
            <w:vAlign w:val="center"/>
          </w:tcPr>
          <w:p>
            <w:pPr>
              <w:widowControl/>
              <w:snapToGrid w:val="0"/>
              <w:jc w:val="center"/>
              <w:rPr>
                <w:rFonts w:ascii="宋体" w:hAnsi="宋体"/>
                <w:color w:val="auto"/>
                <w:sz w:val="18"/>
                <w:szCs w:val="18"/>
              </w:rPr>
            </w:pPr>
            <w:r>
              <w:rPr>
                <w:rFonts w:hint="eastAsia" w:ascii="宋体" w:hAnsi="宋体"/>
                <w:color w:val="auto"/>
                <w:sz w:val="18"/>
                <w:szCs w:val="18"/>
              </w:rPr>
              <w:t>○</w:t>
            </w:r>
          </w:p>
        </w:tc>
        <w:tc>
          <w:tcPr>
            <w:tcW w:w="624" w:type="dxa"/>
            <w:vAlign w:val="center"/>
          </w:tcPr>
          <w:p>
            <w:pPr>
              <w:widowControl/>
              <w:snapToGrid w:val="0"/>
              <w:jc w:val="center"/>
              <w:rPr>
                <w:rFonts w:ascii="宋体" w:hAnsi="宋体"/>
                <w:color w:val="auto"/>
                <w:sz w:val="18"/>
                <w:szCs w:val="18"/>
              </w:rPr>
            </w:pPr>
            <w:r>
              <w:rPr>
                <w:rFonts w:hint="eastAsia" w:ascii="宋体" w:hAnsi="宋体"/>
                <w:b/>
                <w:bCs/>
                <w:color w:val="auto"/>
                <w:sz w:val="18"/>
                <w:szCs w:val="18"/>
              </w:rPr>
              <w:t>-</w:t>
            </w:r>
          </w:p>
        </w:tc>
        <w:tc>
          <w:tcPr>
            <w:tcW w:w="624" w:type="dxa"/>
            <w:vAlign w:val="center"/>
          </w:tcPr>
          <w:p>
            <w:pPr>
              <w:widowControl/>
              <w:snapToGrid w:val="0"/>
              <w:jc w:val="center"/>
              <w:rPr>
                <w:rFonts w:ascii="宋体" w:hAnsi="宋体"/>
                <w:color w:val="auto"/>
                <w:sz w:val="18"/>
                <w:szCs w:val="18"/>
              </w:rPr>
            </w:pPr>
            <w:r>
              <w:rPr>
                <w:rFonts w:hint="eastAsia" w:ascii="宋体" w:hAnsi="宋体"/>
                <w:color w:val="auto"/>
                <w:sz w:val="18"/>
                <w:szCs w:val="18"/>
              </w:rPr>
              <w:t>○</w:t>
            </w:r>
          </w:p>
        </w:tc>
        <w:tc>
          <w:tcPr>
            <w:tcW w:w="624" w:type="dxa"/>
            <w:vAlign w:val="center"/>
          </w:tcPr>
          <w:p>
            <w:pPr>
              <w:widowControl/>
              <w:snapToGrid w:val="0"/>
              <w:jc w:val="center"/>
              <w:rPr>
                <w:rFonts w:ascii="宋体" w:hAnsi="宋体"/>
                <w:color w:val="auto"/>
                <w:sz w:val="18"/>
                <w:szCs w:val="18"/>
              </w:rPr>
            </w:pPr>
            <w:r>
              <w:rPr>
                <w:rFonts w:hint="eastAsia" w:ascii="宋体" w:hAnsi="宋体"/>
                <w:b/>
                <w:bCs/>
                <w:color w:val="auto"/>
                <w:sz w:val="18"/>
                <w:szCs w:val="18"/>
              </w:rPr>
              <w:t>-</w:t>
            </w:r>
          </w:p>
        </w:tc>
        <w:tc>
          <w:tcPr>
            <w:tcW w:w="624" w:type="dxa"/>
            <w:vAlign w:val="center"/>
          </w:tcPr>
          <w:p>
            <w:pPr>
              <w:widowControl/>
              <w:snapToGrid w:val="0"/>
              <w:jc w:val="center"/>
              <w:rPr>
                <w:rFonts w:ascii="宋体" w:hAnsi="宋体"/>
                <w:color w:val="auto"/>
                <w:sz w:val="18"/>
                <w:szCs w:val="18"/>
              </w:rPr>
            </w:pPr>
            <w:r>
              <w:rPr>
                <w:rFonts w:hint="eastAsia" w:ascii="宋体" w:hAnsi="宋体"/>
                <w:color w:val="auto"/>
                <w:sz w:val="18"/>
                <w:szCs w:val="18"/>
              </w:rPr>
              <w:t>○</w:t>
            </w:r>
          </w:p>
        </w:tc>
        <w:tc>
          <w:tcPr>
            <w:tcW w:w="624" w:type="dxa"/>
            <w:vAlign w:val="center"/>
          </w:tcPr>
          <w:p>
            <w:pPr>
              <w:widowControl/>
              <w:snapToGrid w:val="0"/>
              <w:jc w:val="center"/>
              <w:rPr>
                <w:rFonts w:ascii="宋体" w:hAnsi="宋体"/>
                <w:color w:val="auto"/>
                <w:sz w:val="18"/>
                <w:szCs w:val="18"/>
              </w:rPr>
            </w:pPr>
            <w:r>
              <w:rPr>
                <w:rFonts w:hint="eastAsia" w:ascii="宋体" w:hAnsi="宋体"/>
                <w:color w:val="auto"/>
                <w:sz w:val="18"/>
                <w:szCs w:val="18"/>
              </w:rPr>
              <w:t>○</w:t>
            </w:r>
          </w:p>
        </w:tc>
        <w:tc>
          <w:tcPr>
            <w:tcW w:w="624" w:type="dxa"/>
            <w:vAlign w:val="center"/>
          </w:tcPr>
          <w:p>
            <w:pPr>
              <w:widowControl/>
              <w:snapToGrid w:val="0"/>
              <w:jc w:val="center"/>
              <w:rPr>
                <w:rFonts w:ascii="宋体" w:hAnsi="宋体"/>
                <w:color w:val="auto"/>
                <w:sz w:val="18"/>
                <w:szCs w:val="18"/>
              </w:rPr>
            </w:pPr>
            <w:r>
              <w:rPr>
                <w:rFonts w:hint="eastAsia" w:ascii="宋体" w:hAnsi="宋体"/>
                <w:b/>
                <w:bCs/>
                <w:color w:val="auto"/>
                <w:sz w:val="18"/>
                <w:szCs w:val="18"/>
              </w:rPr>
              <w:t>-</w:t>
            </w:r>
          </w:p>
        </w:tc>
        <w:tc>
          <w:tcPr>
            <w:tcW w:w="624" w:type="dxa"/>
            <w:vAlign w:val="center"/>
          </w:tcPr>
          <w:p>
            <w:pPr>
              <w:widowControl/>
              <w:snapToGrid w:val="0"/>
              <w:jc w:val="center"/>
              <w:rPr>
                <w:rFonts w:ascii="宋体" w:hAnsi="宋体"/>
                <w:color w:val="auto"/>
                <w:sz w:val="18"/>
                <w:szCs w:val="18"/>
              </w:rPr>
            </w:pPr>
            <w:r>
              <w:rPr>
                <w:rFonts w:hint="eastAsia" w:ascii="宋体" w:hAnsi="宋体"/>
                <w:color w:val="auto"/>
                <w:sz w:val="18"/>
                <w:szCs w:val="18"/>
              </w:rPr>
              <w:t>○</w:t>
            </w:r>
          </w:p>
        </w:tc>
        <w:tc>
          <w:tcPr>
            <w:tcW w:w="624" w:type="dxa"/>
            <w:vAlign w:val="center"/>
          </w:tcPr>
          <w:p>
            <w:pPr>
              <w:widowControl/>
              <w:snapToGrid w:val="0"/>
              <w:jc w:val="center"/>
              <w:rPr>
                <w:rFonts w:ascii="宋体" w:hAnsi="宋体"/>
                <w:color w:val="auto"/>
                <w:sz w:val="18"/>
                <w:szCs w:val="18"/>
              </w:rPr>
            </w:pPr>
            <w:r>
              <w:rPr>
                <w:rFonts w:hint="eastAsia" w:ascii="宋体" w:hAnsi="宋体"/>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04" w:type="dxa"/>
            <w:vAlign w:val="center"/>
          </w:tcPr>
          <w:p>
            <w:pPr>
              <w:widowControl/>
              <w:jc w:val="center"/>
              <w:rPr>
                <w:rFonts w:ascii="宋体" w:hAnsi="宋体"/>
                <w:b/>
                <w:color w:val="auto"/>
                <w:sz w:val="18"/>
                <w:szCs w:val="18"/>
              </w:rPr>
            </w:pPr>
            <w:r>
              <w:rPr>
                <w:rFonts w:hint="eastAsia" w:ascii="宋体" w:hAnsi="宋体"/>
                <w:b/>
                <w:color w:val="auto"/>
                <w:sz w:val="18"/>
                <w:szCs w:val="18"/>
              </w:rPr>
              <w:t>办公生活区</w:t>
            </w:r>
          </w:p>
        </w:tc>
        <w:tc>
          <w:tcPr>
            <w:tcW w:w="624" w:type="dxa"/>
            <w:vAlign w:val="center"/>
          </w:tcPr>
          <w:p>
            <w:pPr>
              <w:widowControl/>
              <w:snapToGrid w:val="0"/>
              <w:jc w:val="center"/>
              <w:rPr>
                <w:rFonts w:ascii="宋体" w:hAnsi="宋体"/>
                <w:color w:val="auto"/>
                <w:sz w:val="18"/>
                <w:szCs w:val="18"/>
              </w:rPr>
            </w:pPr>
            <w:r>
              <w:rPr>
                <w:rFonts w:hint="eastAsia" w:ascii="宋体" w:hAnsi="宋体"/>
                <w:b/>
                <w:bCs/>
                <w:color w:val="auto"/>
                <w:sz w:val="18"/>
                <w:szCs w:val="18"/>
              </w:rPr>
              <w:t>-</w:t>
            </w:r>
          </w:p>
        </w:tc>
        <w:tc>
          <w:tcPr>
            <w:tcW w:w="624" w:type="dxa"/>
            <w:vAlign w:val="center"/>
          </w:tcPr>
          <w:p>
            <w:pPr>
              <w:widowControl/>
              <w:snapToGrid w:val="0"/>
              <w:jc w:val="center"/>
              <w:rPr>
                <w:rFonts w:ascii="宋体" w:hAnsi="宋体"/>
                <w:color w:val="auto"/>
                <w:sz w:val="18"/>
                <w:szCs w:val="18"/>
              </w:rPr>
            </w:pPr>
            <w:r>
              <w:rPr>
                <w:rFonts w:hint="eastAsia" w:ascii="宋体" w:hAnsi="宋体"/>
                <w:b/>
                <w:bCs/>
                <w:color w:val="auto"/>
                <w:sz w:val="18"/>
                <w:szCs w:val="18"/>
              </w:rPr>
              <w:t>-</w:t>
            </w:r>
          </w:p>
        </w:tc>
        <w:tc>
          <w:tcPr>
            <w:tcW w:w="624" w:type="dxa"/>
            <w:vAlign w:val="center"/>
          </w:tcPr>
          <w:p>
            <w:pPr>
              <w:widowControl/>
              <w:snapToGrid w:val="0"/>
              <w:jc w:val="center"/>
              <w:rPr>
                <w:rFonts w:ascii="宋体" w:hAnsi="宋体"/>
                <w:color w:val="auto"/>
                <w:sz w:val="18"/>
                <w:szCs w:val="18"/>
              </w:rPr>
            </w:pPr>
            <w:r>
              <w:rPr>
                <w:rFonts w:hint="eastAsia" w:ascii="宋体" w:hAnsi="宋体"/>
                <w:b/>
                <w:bCs/>
                <w:color w:val="auto"/>
                <w:sz w:val="18"/>
                <w:szCs w:val="18"/>
              </w:rPr>
              <w:t>-</w:t>
            </w:r>
          </w:p>
        </w:tc>
        <w:tc>
          <w:tcPr>
            <w:tcW w:w="624" w:type="dxa"/>
            <w:vAlign w:val="center"/>
          </w:tcPr>
          <w:p>
            <w:pPr>
              <w:widowControl/>
              <w:snapToGrid w:val="0"/>
              <w:jc w:val="center"/>
              <w:rPr>
                <w:rFonts w:ascii="宋体" w:hAnsi="宋体"/>
                <w:color w:val="auto"/>
                <w:sz w:val="18"/>
                <w:szCs w:val="18"/>
              </w:rPr>
            </w:pPr>
            <w:r>
              <w:rPr>
                <w:rFonts w:hint="eastAsia" w:ascii="宋体" w:hAnsi="宋体"/>
                <w:b/>
                <w:bCs/>
                <w:color w:val="auto"/>
                <w:sz w:val="18"/>
                <w:szCs w:val="18"/>
              </w:rPr>
              <w:t>-</w:t>
            </w:r>
          </w:p>
        </w:tc>
        <w:tc>
          <w:tcPr>
            <w:tcW w:w="624" w:type="dxa"/>
            <w:vAlign w:val="center"/>
          </w:tcPr>
          <w:p>
            <w:pPr>
              <w:widowControl/>
              <w:snapToGrid w:val="0"/>
              <w:jc w:val="center"/>
              <w:rPr>
                <w:rFonts w:ascii="宋体" w:hAnsi="宋体"/>
                <w:color w:val="auto"/>
                <w:sz w:val="18"/>
                <w:szCs w:val="18"/>
              </w:rPr>
            </w:pPr>
            <w:r>
              <w:rPr>
                <w:rFonts w:hint="eastAsia" w:ascii="宋体" w:hAnsi="宋体"/>
                <w:b/>
                <w:bCs/>
                <w:color w:val="auto"/>
                <w:sz w:val="18"/>
                <w:szCs w:val="18"/>
              </w:rPr>
              <w:t>-</w:t>
            </w:r>
          </w:p>
        </w:tc>
        <w:tc>
          <w:tcPr>
            <w:tcW w:w="624" w:type="dxa"/>
            <w:vAlign w:val="center"/>
          </w:tcPr>
          <w:p>
            <w:pPr>
              <w:widowControl/>
              <w:snapToGrid w:val="0"/>
              <w:jc w:val="center"/>
              <w:rPr>
                <w:rFonts w:ascii="宋体" w:hAnsi="宋体"/>
                <w:color w:val="auto"/>
                <w:sz w:val="18"/>
                <w:szCs w:val="18"/>
              </w:rPr>
            </w:pPr>
            <w:r>
              <w:rPr>
                <w:rFonts w:hint="eastAsia" w:ascii="宋体" w:hAnsi="宋体"/>
                <w:color w:val="auto"/>
                <w:sz w:val="18"/>
                <w:szCs w:val="18"/>
              </w:rPr>
              <w:t>○</w:t>
            </w:r>
          </w:p>
        </w:tc>
        <w:tc>
          <w:tcPr>
            <w:tcW w:w="624" w:type="dxa"/>
            <w:vAlign w:val="center"/>
          </w:tcPr>
          <w:p>
            <w:pPr>
              <w:widowControl/>
              <w:snapToGrid w:val="0"/>
              <w:jc w:val="center"/>
              <w:rPr>
                <w:rFonts w:ascii="宋体" w:hAnsi="宋体"/>
                <w:color w:val="auto"/>
                <w:sz w:val="18"/>
                <w:szCs w:val="18"/>
              </w:rPr>
            </w:pPr>
            <w:r>
              <w:rPr>
                <w:rFonts w:hint="eastAsia" w:ascii="宋体" w:hAnsi="宋体"/>
                <w:color w:val="auto"/>
                <w:sz w:val="18"/>
                <w:szCs w:val="18"/>
              </w:rPr>
              <w:t>○</w:t>
            </w:r>
          </w:p>
        </w:tc>
        <w:tc>
          <w:tcPr>
            <w:tcW w:w="624" w:type="dxa"/>
            <w:vAlign w:val="center"/>
          </w:tcPr>
          <w:p>
            <w:pPr>
              <w:widowControl/>
              <w:snapToGrid w:val="0"/>
              <w:jc w:val="center"/>
              <w:rPr>
                <w:rFonts w:ascii="宋体" w:hAnsi="宋体"/>
                <w:color w:val="auto"/>
                <w:sz w:val="18"/>
                <w:szCs w:val="18"/>
              </w:rPr>
            </w:pPr>
            <w:r>
              <w:rPr>
                <w:rFonts w:hint="eastAsia" w:ascii="宋体" w:hAnsi="宋体"/>
                <w:b/>
                <w:bCs/>
                <w:color w:val="auto"/>
                <w:sz w:val="18"/>
                <w:szCs w:val="18"/>
              </w:rPr>
              <w:t>-</w:t>
            </w:r>
          </w:p>
        </w:tc>
        <w:tc>
          <w:tcPr>
            <w:tcW w:w="624" w:type="dxa"/>
            <w:vAlign w:val="center"/>
          </w:tcPr>
          <w:p>
            <w:pPr>
              <w:widowControl/>
              <w:snapToGrid w:val="0"/>
              <w:jc w:val="center"/>
              <w:rPr>
                <w:rFonts w:ascii="宋体" w:hAnsi="宋体"/>
                <w:color w:val="auto"/>
                <w:sz w:val="18"/>
                <w:szCs w:val="18"/>
              </w:rPr>
            </w:pPr>
            <w:r>
              <w:rPr>
                <w:rFonts w:hint="eastAsia" w:ascii="宋体" w:hAnsi="宋体"/>
                <w:b/>
                <w:bCs/>
                <w:color w:val="auto"/>
                <w:sz w:val="18"/>
                <w:szCs w:val="18"/>
              </w:rPr>
              <w:t>-</w:t>
            </w:r>
          </w:p>
        </w:tc>
        <w:tc>
          <w:tcPr>
            <w:tcW w:w="624" w:type="dxa"/>
            <w:vAlign w:val="center"/>
          </w:tcPr>
          <w:p>
            <w:pPr>
              <w:widowControl/>
              <w:snapToGrid w:val="0"/>
              <w:jc w:val="center"/>
              <w:rPr>
                <w:rFonts w:ascii="宋体" w:hAnsi="宋体"/>
                <w:color w:val="auto"/>
                <w:sz w:val="18"/>
                <w:szCs w:val="18"/>
              </w:rPr>
            </w:pPr>
            <w:r>
              <w:rPr>
                <w:rFonts w:hint="eastAsia" w:ascii="宋体" w:hAnsi="宋体"/>
                <w:b/>
                <w:bCs/>
                <w:color w:val="auto"/>
                <w:sz w:val="18"/>
                <w:szCs w:val="18"/>
              </w:rPr>
              <w:t>-</w:t>
            </w:r>
          </w:p>
        </w:tc>
        <w:tc>
          <w:tcPr>
            <w:tcW w:w="624" w:type="dxa"/>
            <w:vAlign w:val="center"/>
          </w:tcPr>
          <w:p>
            <w:pPr>
              <w:widowControl/>
              <w:snapToGrid w:val="0"/>
              <w:jc w:val="center"/>
              <w:rPr>
                <w:rFonts w:ascii="宋体" w:hAnsi="宋体"/>
                <w:color w:val="auto"/>
                <w:sz w:val="18"/>
                <w:szCs w:val="18"/>
              </w:rPr>
            </w:pPr>
            <w:r>
              <w:rPr>
                <w:rFonts w:hint="eastAsia" w:ascii="宋体" w:hAnsi="宋体"/>
                <w:b/>
                <w:bCs/>
                <w:color w:val="auto"/>
                <w:sz w:val="18"/>
                <w:szCs w:val="18"/>
              </w:rPr>
              <w:t>-</w:t>
            </w:r>
          </w:p>
        </w:tc>
        <w:tc>
          <w:tcPr>
            <w:tcW w:w="624" w:type="dxa"/>
            <w:vAlign w:val="center"/>
          </w:tcPr>
          <w:p>
            <w:pPr>
              <w:widowControl/>
              <w:snapToGrid w:val="0"/>
              <w:jc w:val="center"/>
              <w:rPr>
                <w:rFonts w:ascii="宋体" w:hAnsi="宋体"/>
                <w:color w:val="auto"/>
                <w:sz w:val="18"/>
                <w:szCs w:val="18"/>
              </w:rPr>
            </w:pPr>
            <w:r>
              <w:rPr>
                <w:rFonts w:hint="eastAsia" w:ascii="宋体" w:hAnsi="宋体"/>
                <w:b/>
                <w:bCs/>
                <w:color w:val="auto"/>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1304" w:type="dxa"/>
            <w:vAlign w:val="center"/>
          </w:tcPr>
          <w:p>
            <w:pPr>
              <w:widowControl/>
              <w:jc w:val="center"/>
              <w:rPr>
                <w:rFonts w:ascii="宋体" w:hAnsi="宋体"/>
                <w:b/>
                <w:color w:val="auto"/>
                <w:sz w:val="18"/>
                <w:szCs w:val="18"/>
              </w:rPr>
            </w:pPr>
            <w:r>
              <w:rPr>
                <w:rFonts w:hint="eastAsia" w:ascii="宋体" w:hAnsi="宋体"/>
                <w:b/>
                <w:color w:val="auto"/>
                <w:sz w:val="18"/>
                <w:szCs w:val="18"/>
              </w:rPr>
              <w:t>运输道路</w:t>
            </w:r>
          </w:p>
        </w:tc>
        <w:tc>
          <w:tcPr>
            <w:tcW w:w="624" w:type="dxa"/>
            <w:vAlign w:val="center"/>
          </w:tcPr>
          <w:p>
            <w:pPr>
              <w:widowControl/>
              <w:snapToGrid w:val="0"/>
              <w:jc w:val="center"/>
              <w:rPr>
                <w:rFonts w:ascii="宋体" w:hAnsi="宋体"/>
                <w:b/>
                <w:bCs/>
                <w:color w:val="auto"/>
                <w:sz w:val="18"/>
                <w:szCs w:val="18"/>
              </w:rPr>
            </w:pPr>
            <w:r>
              <w:rPr>
                <w:rFonts w:hint="eastAsia" w:ascii="宋体" w:hAnsi="宋体"/>
                <w:color w:val="auto"/>
                <w:sz w:val="18"/>
                <w:szCs w:val="18"/>
              </w:rPr>
              <w:t>○</w:t>
            </w:r>
          </w:p>
        </w:tc>
        <w:tc>
          <w:tcPr>
            <w:tcW w:w="624" w:type="dxa"/>
            <w:vAlign w:val="center"/>
          </w:tcPr>
          <w:p>
            <w:pPr>
              <w:widowControl/>
              <w:snapToGrid w:val="0"/>
              <w:jc w:val="center"/>
              <w:rPr>
                <w:rFonts w:ascii="宋体" w:hAnsi="宋体"/>
                <w:b/>
                <w:bCs/>
                <w:color w:val="auto"/>
                <w:sz w:val="18"/>
                <w:szCs w:val="18"/>
              </w:rPr>
            </w:pPr>
            <w:r>
              <w:rPr>
                <w:rFonts w:hint="eastAsia" w:ascii="宋体" w:hAnsi="宋体"/>
                <w:color w:val="auto"/>
                <w:sz w:val="18"/>
                <w:szCs w:val="18"/>
              </w:rPr>
              <w:t>○</w:t>
            </w:r>
          </w:p>
        </w:tc>
        <w:tc>
          <w:tcPr>
            <w:tcW w:w="624" w:type="dxa"/>
            <w:vAlign w:val="center"/>
          </w:tcPr>
          <w:p>
            <w:pPr>
              <w:widowControl/>
              <w:snapToGrid w:val="0"/>
              <w:jc w:val="center"/>
              <w:rPr>
                <w:rFonts w:ascii="宋体" w:hAnsi="宋体"/>
                <w:b/>
                <w:bCs/>
                <w:color w:val="auto"/>
                <w:sz w:val="18"/>
                <w:szCs w:val="18"/>
              </w:rPr>
            </w:pPr>
            <w:r>
              <w:rPr>
                <w:rFonts w:hint="eastAsia" w:ascii="宋体" w:hAnsi="宋体"/>
                <w:color w:val="auto"/>
                <w:sz w:val="18"/>
                <w:szCs w:val="18"/>
              </w:rPr>
              <w:t>○</w:t>
            </w:r>
          </w:p>
        </w:tc>
        <w:tc>
          <w:tcPr>
            <w:tcW w:w="624" w:type="dxa"/>
            <w:vAlign w:val="center"/>
          </w:tcPr>
          <w:p>
            <w:pPr>
              <w:widowControl/>
              <w:snapToGrid w:val="0"/>
              <w:jc w:val="center"/>
              <w:rPr>
                <w:rFonts w:ascii="宋体" w:hAnsi="宋体"/>
                <w:b/>
                <w:bCs/>
                <w:color w:val="auto"/>
                <w:sz w:val="18"/>
                <w:szCs w:val="18"/>
              </w:rPr>
            </w:pPr>
            <w:r>
              <w:rPr>
                <w:rFonts w:hint="eastAsia" w:ascii="宋体" w:hAnsi="宋体"/>
                <w:color w:val="auto"/>
                <w:sz w:val="18"/>
                <w:szCs w:val="18"/>
              </w:rPr>
              <w:t>○</w:t>
            </w:r>
          </w:p>
        </w:tc>
        <w:tc>
          <w:tcPr>
            <w:tcW w:w="624" w:type="dxa"/>
            <w:vAlign w:val="center"/>
          </w:tcPr>
          <w:p>
            <w:pPr>
              <w:widowControl/>
              <w:snapToGrid w:val="0"/>
              <w:jc w:val="center"/>
              <w:rPr>
                <w:rFonts w:ascii="宋体" w:hAnsi="宋体"/>
                <w:b/>
                <w:bCs/>
                <w:color w:val="auto"/>
                <w:sz w:val="18"/>
                <w:szCs w:val="18"/>
              </w:rPr>
            </w:pPr>
            <w:r>
              <w:rPr>
                <w:rFonts w:hint="eastAsia" w:ascii="宋体" w:hAnsi="宋体"/>
                <w:b/>
                <w:bCs/>
                <w:color w:val="auto"/>
                <w:sz w:val="18"/>
                <w:szCs w:val="18"/>
              </w:rPr>
              <w:t>-</w:t>
            </w:r>
          </w:p>
        </w:tc>
        <w:tc>
          <w:tcPr>
            <w:tcW w:w="624" w:type="dxa"/>
            <w:vAlign w:val="center"/>
          </w:tcPr>
          <w:p>
            <w:pPr>
              <w:widowControl/>
              <w:snapToGrid w:val="0"/>
              <w:jc w:val="center"/>
              <w:rPr>
                <w:rFonts w:ascii="宋体" w:hAnsi="宋体"/>
                <w:b/>
                <w:bCs/>
                <w:color w:val="auto"/>
                <w:sz w:val="18"/>
                <w:szCs w:val="18"/>
              </w:rPr>
            </w:pPr>
            <w:r>
              <w:rPr>
                <w:rFonts w:hint="eastAsia" w:ascii="宋体" w:hAnsi="宋体"/>
                <w:b/>
                <w:bCs/>
                <w:color w:val="auto"/>
                <w:sz w:val="18"/>
                <w:szCs w:val="18"/>
              </w:rPr>
              <w:t>-</w:t>
            </w:r>
          </w:p>
        </w:tc>
        <w:tc>
          <w:tcPr>
            <w:tcW w:w="624" w:type="dxa"/>
            <w:vAlign w:val="center"/>
          </w:tcPr>
          <w:p>
            <w:pPr>
              <w:widowControl/>
              <w:snapToGrid w:val="0"/>
              <w:jc w:val="center"/>
              <w:rPr>
                <w:rFonts w:ascii="宋体" w:hAnsi="宋体"/>
                <w:b/>
                <w:bCs/>
                <w:color w:val="auto"/>
                <w:sz w:val="18"/>
                <w:szCs w:val="18"/>
              </w:rPr>
            </w:pPr>
            <w:r>
              <w:rPr>
                <w:rFonts w:hint="eastAsia" w:ascii="宋体" w:hAnsi="宋体"/>
                <w:b/>
                <w:bCs/>
                <w:color w:val="auto"/>
                <w:sz w:val="18"/>
                <w:szCs w:val="18"/>
              </w:rPr>
              <w:t>-</w:t>
            </w:r>
          </w:p>
        </w:tc>
        <w:tc>
          <w:tcPr>
            <w:tcW w:w="624" w:type="dxa"/>
            <w:vAlign w:val="center"/>
          </w:tcPr>
          <w:p>
            <w:pPr>
              <w:widowControl/>
              <w:snapToGrid w:val="0"/>
              <w:jc w:val="center"/>
              <w:rPr>
                <w:rFonts w:ascii="宋体" w:hAnsi="宋体"/>
                <w:b/>
                <w:bCs/>
                <w:color w:val="auto"/>
                <w:sz w:val="18"/>
                <w:szCs w:val="18"/>
              </w:rPr>
            </w:pPr>
            <w:r>
              <w:rPr>
                <w:rFonts w:hint="eastAsia" w:ascii="宋体" w:hAnsi="宋体"/>
                <w:color w:val="auto"/>
                <w:sz w:val="18"/>
                <w:szCs w:val="18"/>
              </w:rPr>
              <w:t>○</w:t>
            </w:r>
          </w:p>
        </w:tc>
        <w:tc>
          <w:tcPr>
            <w:tcW w:w="624" w:type="dxa"/>
            <w:vAlign w:val="center"/>
          </w:tcPr>
          <w:p>
            <w:pPr>
              <w:widowControl/>
              <w:snapToGrid w:val="0"/>
              <w:jc w:val="center"/>
              <w:rPr>
                <w:rFonts w:ascii="宋体" w:hAnsi="宋体"/>
                <w:b/>
                <w:bCs/>
                <w:color w:val="auto"/>
                <w:sz w:val="18"/>
                <w:szCs w:val="18"/>
              </w:rPr>
            </w:pPr>
            <w:r>
              <w:rPr>
                <w:rFonts w:hint="eastAsia" w:ascii="宋体" w:hAnsi="宋体"/>
                <w:color w:val="auto"/>
                <w:sz w:val="18"/>
                <w:szCs w:val="18"/>
              </w:rPr>
              <w:t>○</w:t>
            </w:r>
          </w:p>
        </w:tc>
        <w:tc>
          <w:tcPr>
            <w:tcW w:w="624" w:type="dxa"/>
            <w:vAlign w:val="center"/>
          </w:tcPr>
          <w:p>
            <w:pPr>
              <w:widowControl/>
              <w:snapToGrid w:val="0"/>
              <w:jc w:val="center"/>
              <w:rPr>
                <w:rFonts w:ascii="宋体" w:hAnsi="宋体"/>
                <w:b/>
                <w:bCs/>
                <w:color w:val="auto"/>
                <w:sz w:val="18"/>
                <w:szCs w:val="18"/>
              </w:rPr>
            </w:pPr>
            <w:r>
              <w:rPr>
                <w:rFonts w:hint="eastAsia" w:ascii="宋体" w:hAnsi="宋体"/>
                <w:b/>
                <w:bCs/>
                <w:color w:val="auto"/>
                <w:sz w:val="18"/>
                <w:szCs w:val="18"/>
              </w:rPr>
              <w:t>-</w:t>
            </w:r>
          </w:p>
        </w:tc>
        <w:tc>
          <w:tcPr>
            <w:tcW w:w="624" w:type="dxa"/>
            <w:vAlign w:val="center"/>
          </w:tcPr>
          <w:p>
            <w:pPr>
              <w:widowControl/>
              <w:snapToGrid w:val="0"/>
              <w:jc w:val="center"/>
              <w:rPr>
                <w:rFonts w:ascii="宋体" w:hAnsi="宋体"/>
                <w:color w:val="auto"/>
                <w:sz w:val="18"/>
                <w:szCs w:val="18"/>
              </w:rPr>
            </w:pPr>
            <w:r>
              <w:rPr>
                <w:rFonts w:hint="eastAsia" w:ascii="宋体" w:hAnsi="宋体"/>
                <w:b/>
                <w:bCs/>
                <w:color w:val="auto"/>
                <w:sz w:val="18"/>
                <w:szCs w:val="18"/>
              </w:rPr>
              <w:t>-</w:t>
            </w:r>
          </w:p>
        </w:tc>
        <w:tc>
          <w:tcPr>
            <w:tcW w:w="624" w:type="dxa"/>
            <w:vAlign w:val="center"/>
          </w:tcPr>
          <w:p>
            <w:pPr>
              <w:widowControl/>
              <w:snapToGrid w:val="0"/>
              <w:jc w:val="center"/>
              <w:rPr>
                <w:rFonts w:ascii="宋体" w:hAnsi="宋体"/>
                <w:color w:val="auto"/>
                <w:sz w:val="18"/>
                <w:szCs w:val="18"/>
              </w:rPr>
            </w:pPr>
            <w:r>
              <w:rPr>
                <w:rFonts w:hint="eastAsia" w:ascii="宋体" w:hAnsi="宋体"/>
                <w:b/>
                <w:bCs/>
                <w:color w:val="auto"/>
                <w:sz w:val="18"/>
                <w:szCs w:val="18"/>
              </w:rPr>
              <w:t>-</w:t>
            </w:r>
          </w:p>
        </w:tc>
      </w:tr>
    </w:tbl>
    <w:p>
      <w:pPr>
        <w:widowControl/>
        <w:spacing w:line="500" w:lineRule="exact"/>
        <w:ind w:firstLine="420" w:firstLineChars="200"/>
        <w:rPr>
          <w:rFonts w:ascii="宋体" w:hAnsi="宋体"/>
          <w:color w:val="auto"/>
          <w:sz w:val="24"/>
        </w:rPr>
      </w:pPr>
      <w:r>
        <w:rPr>
          <w:rFonts w:hint="eastAsia" w:ascii="宋体" w:hAnsi="宋体"/>
          <w:color w:val="auto"/>
          <w:szCs w:val="21"/>
        </w:rPr>
        <w:t>注：○表示存在，-表示不存在</w:t>
      </w:r>
    </w:p>
    <w:bookmarkEnd w:id="235"/>
    <w:bookmarkEnd w:id="236"/>
    <w:bookmarkEnd w:id="237"/>
    <w:bookmarkEnd w:id="238"/>
    <w:bookmarkEnd w:id="239"/>
    <w:bookmarkEnd w:id="240"/>
    <w:bookmarkEnd w:id="241"/>
    <w:bookmarkEnd w:id="242"/>
    <w:bookmarkEnd w:id="243"/>
    <w:bookmarkEnd w:id="244"/>
    <w:bookmarkEnd w:id="245"/>
    <w:bookmarkEnd w:id="246"/>
    <w:p>
      <w:pPr>
        <w:pStyle w:val="3"/>
        <w:widowControl/>
        <w:spacing w:before="120" w:after="120" w:line="500" w:lineRule="exact"/>
        <w:rPr>
          <w:rFonts w:ascii="宋体" w:hAnsi="宋体" w:eastAsia="宋体"/>
          <w:b/>
          <w:color w:val="auto"/>
          <w:kern w:val="30"/>
          <w:sz w:val="30"/>
          <w:szCs w:val="30"/>
        </w:rPr>
      </w:pPr>
      <w:bookmarkStart w:id="248" w:name="_Toc241824339"/>
      <w:bookmarkStart w:id="249" w:name="_Toc198106937"/>
      <w:bookmarkStart w:id="250" w:name="_Toc168484333"/>
      <w:bookmarkStart w:id="251" w:name="_Toc109632327"/>
      <w:r>
        <w:rPr>
          <w:rFonts w:ascii="宋体" w:hAnsi="宋体" w:eastAsia="宋体"/>
          <w:b/>
          <w:color w:val="auto"/>
          <w:szCs w:val="32"/>
        </w:rPr>
        <w:br w:type="page"/>
      </w:r>
      <w:bookmarkStart w:id="252" w:name="_Toc150262786"/>
      <w:r>
        <w:rPr>
          <w:rFonts w:hint="eastAsia" w:ascii="宋体" w:hAnsi="宋体" w:eastAsia="宋体"/>
          <w:b/>
          <w:color w:val="auto"/>
          <w:kern w:val="30"/>
          <w:sz w:val="30"/>
          <w:szCs w:val="30"/>
        </w:rPr>
        <w:t>4</w:t>
      </w:r>
      <w:r>
        <w:rPr>
          <w:rFonts w:ascii="宋体" w:hAnsi="宋体" w:eastAsia="宋体"/>
          <w:b/>
          <w:color w:val="auto"/>
          <w:kern w:val="30"/>
          <w:sz w:val="30"/>
          <w:szCs w:val="30"/>
        </w:rPr>
        <w:t>安全对策措施及建议</w:t>
      </w:r>
      <w:bookmarkEnd w:id="248"/>
      <w:bookmarkEnd w:id="249"/>
      <w:bookmarkEnd w:id="250"/>
      <w:bookmarkEnd w:id="252"/>
    </w:p>
    <w:p>
      <w:pPr>
        <w:pStyle w:val="4"/>
        <w:keepLines w:val="0"/>
        <w:widowControl/>
        <w:spacing w:before="120" w:after="120" w:line="500" w:lineRule="exact"/>
        <w:rPr>
          <w:rFonts w:ascii="宋体" w:hAnsi="宋体" w:eastAsia="宋体"/>
          <w:b/>
          <w:bCs w:val="0"/>
          <w:color w:val="auto"/>
          <w:kern w:val="28"/>
          <w:sz w:val="28"/>
          <w:szCs w:val="28"/>
        </w:rPr>
      </w:pPr>
      <w:bookmarkStart w:id="253" w:name="_Toc150262787"/>
      <w:bookmarkStart w:id="254" w:name="_Toc329463310"/>
      <w:r>
        <w:rPr>
          <w:rFonts w:hint="eastAsia" w:ascii="宋体" w:hAnsi="宋体" w:eastAsia="宋体"/>
          <w:b/>
          <w:bCs w:val="0"/>
          <w:color w:val="auto"/>
          <w:kern w:val="28"/>
          <w:sz w:val="28"/>
          <w:szCs w:val="28"/>
        </w:rPr>
        <w:t>4</w:t>
      </w:r>
      <w:r>
        <w:rPr>
          <w:rFonts w:ascii="宋体" w:hAnsi="宋体" w:eastAsia="宋体"/>
          <w:b/>
          <w:bCs w:val="0"/>
          <w:color w:val="auto"/>
          <w:kern w:val="28"/>
          <w:sz w:val="28"/>
          <w:szCs w:val="28"/>
        </w:rPr>
        <w:t>.</w:t>
      </w:r>
      <w:r>
        <w:rPr>
          <w:rFonts w:hint="eastAsia" w:ascii="宋体" w:hAnsi="宋体" w:eastAsia="宋体"/>
          <w:b/>
          <w:bCs w:val="0"/>
          <w:color w:val="auto"/>
          <w:kern w:val="28"/>
          <w:sz w:val="28"/>
          <w:szCs w:val="28"/>
        </w:rPr>
        <w:t>1安全技术对策措施</w:t>
      </w:r>
      <w:bookmarkEnd w:id="253"/>
      <w:bookmarkEnd w:id="254"/>
    </w:p>
    <w:p>
      <w:pPr>
        <w:pStyle w:val="5"/>
        <w:keepLines w:val="0"/>
        <w:widowControl/>
        <w:spacing w:before="120" w:after="120" w:line="500" w:lineRule="exact"/>
        <w:rPr>
          <w:rFonts w:ascii="宋体" w:hAnsi="宋体"/>
          <w:color w:val="auto"/>
          <w:kern w:val="28"/>
          <w:sz w:val="28"/>
          <w:szCs w:val="28"/>
        </w:rPr>
      </w:pPr>
      <w:r>
        <w:rPr>
          <w:rFonts w:hint="eastAsia" w:ascii="宋体" w:hAnsi="宋体"/>
          <w:color w:val="auto"/>
          <w:kern w:val="28"/>
          <w:sz w:val="28"/>
          <w:szCs w:val="28"/>
        </w:rPr>
        <w:t>4.1.1总平面布置单元安全对策措施</w:t>
      </w:r>
    </w:p>
    <w:p>
      <w:pPr>
        <w:widowControl/>
        <w:spacing w:line="500" w:lineRule="exact"/>
        <w:ind w:firstLine="480" w:firstLineChars="200"/>
        <w:rPr>
          <w:rFonts w:ascii="宋体" w:hAnsi="宋体"/>
          <w:color w:val="auto"/>
          <w:sz w:val="24"/>
        </w:rPr>
      </w:pPr>
      <w:r>
        <w:rPr>
          <w:rFonts w:hint="eastAsia" w:ascii="宋体" w:hAnsi="宋体"/>
          <w:color w:val="auto"/>
          <w:sz w:val="24"/>
        </w:rPr>
        <w:t>1）下部设计总平面布置应严格按照《金属非金属矿山安全规程》（GB16423-2020）进行布置。</w:t>
      </w:r>
    </w:p>
    <w:p>
      <w:pPr>
        <w:widowControl/>
        <w:spacing w:line="500" w:lineRule="exact"/>
        <w:ind w:firstLine="480" w:firstLineChars="200"/>
        <w:rPr>
          <w:rFonts w:ascii="宋体" w:hAnsi="宋体"/>
          <w:color w:val="auto"/>
          <w:sz w:val="24"/>
        </w:rPr>
      </w:pPr>
      <w:r>
        <w:rPr>
          <w:rFonts w:hint="eastAsia" w:ascii="宋体" w:hAnsi="宋体"/>
          <w:color w:val="auto"/>
          <w:sz w:val="24"/>
        </w:rPr>
        <w:t>2）建议下步设计完善企业总平面布置图。</w:t>
      </w:r>
    </w:p>
    <w:p>
      <w:pPr>
        <w:pStyle w:val="5"/>
        <w:keepLines w:val="0"/>
        <w:widowControl/>
        <w:spacing w:before="120" w:after="120" w:line="500" w:lineRule="exact"/>
        <w:rPr>
          <w:rFonts w:ascii="宋体" w:hAnsi="宋体"/>
          <w:color w:val="auto"/>
          <w:kern w:val="28"/>
          <w:sz w:val="28"/>
          <w:szCs w:val="28"/>
        </w:rPr>
      </w:pPr>
      <w:r>
        <w:rPr>
          <w:rFonts w:hint="eastAsia" w:ascii="宋体" w:hAnsi="宋体"/>
          <w:color w:val="auto"/>
          <w:kern w:val="28"/>
          <w:sz w:val="28"/>
          <w:szCs w:val="28"/>
        </w:rPr>
        <w:t>4.1.2开拓运输单元安全对策措施</w:t>
      </w:r>
    </w:p>
    <w:p>
      <w:pPr>
        <w:widowControl/>
        <w:spacing w:line="500" w:lineRule="exact"/>
        <w:ind w:firstLine="480" w:firstLineChars="200"/>
        <w:rPr>
          <w:rFonts w:ascii="宋体" w:hAnsi="宋体"/>
          <w:color w:val="auto"/>
          <w:sz w:val="24"/>
        </w:rPr>
      </w:pPr>
      <w:r>
        <w:rPr>
          <w:rFonts w:hint="eastAsia" w:ascii="宋体" w:hAnsi="宋体"/>
          <w:color w:val="auto"/>
          <w:sz w:val="24"/>
        </w:rPr>
        <w:t>1）防车辆伤害对策措施</w:t>
      </w:r>
    </w:p>
    <w:p>
      <w:pPr>
        <w:widowControl/>
        <w:spacing w:line="500" w:lineRule="exact"/>
        <w:ind w:firstLine="480" w:firstLineChars="200"/>
        <w:rPr>
          <w:rFonts w:ascii="宋体" w:hAnsi="宋体"/>
          <w:color w:val="auto"/>
          <w:sz w:val="24"/>
        </w:rPr>
      </w:pPr>
      <w:r>
        <w:rPr>
          <w:rFonts w:hint="eastAsia" w:ascii="宋体" w:hAnsi="宋体"/>
          <w:color w:val="auto"/>
          <w:sz w:val="24"/>
        </w:rPr>
        <w:t>（1）设计时合理选择开拓运输方式，矿山作业过程中严格按设计的开拓运输方式进行作业。</w:t>
      </w:r>
    </w:p>
    <w:p>
      <w:pPr>
        <w:widowControl/>
        <w:spacing w:line="500" w:lineRule="exact"/>
        <w:ind w:firstLine="480" w:firstLineChars="200"/>
        <w:rPr>
          <w:rFonts w:ascii="宋体" w:hAnsi="宋体"/>
          <w:color w:val="auto"/>
          <w:sz w:val="24"/>
        </w:rPr>
      </w:pPr>
      <w:r>
        <w:rPr>
          <w:rFonts w:hint="eastAsia" w:ascii="宋体" w:hAnsi="宋体"/>
          <w:color w:val="auto"/>
          <w:sz w:val="24"/>
        </w:rPr>
        <w:t>（2）矿山运输线路坡度不超过8%。</w:t>
      </w:r>
    </w:p>
    <w:p>
      <w:pPr>
        <w:widowControl/>
        <w:spacing w:line="500" w:lineRule="exact"/>
        <w:ind w:firstLine="480" w:firstLineChars="200"/>
        <w:rPr>
          <w:rFonts w:ascii="宋体" w:hAnsi="宋体"/>
          <w:color w:val="auto"/>
          <w:sz w:val="24"/>
        </w:rPr>
      </w:pPr>
      <w:r>
        <w:rPr>
          <w:rFonts w:hint="eastAsia" w:ascii="宋体" w:hAnsi="宋体"/>
          <w:color w:val="auto"/>
          <w:sz w:val="24"/>
        </w:rPr>
        <w:t>（3）按设计要求设置错车道。</w:t>
      </w:r>
    </w:p>
    <w:p>
      <w:pPr>
        <w:widowControl/>
        <w:spacing w:line="500" w:lineRule="exact"/>
        <w:ind w:firstLine="480" w:firstLineChars="200"/>
        <w:rPr>
          <w:rFonts w:ascii="宋体" w:hAnsi="宋体"/>
          <w:color w:val="auto"/>
          <w:sz w:val="24"/>
        </w:rPr>
      </w:pPr>
      <w:r>
        <w:rPr>
          <w:rFonts w:hint="eastAsia" w:ascii="宋体" w:hAnsi="宋体"/>
          <w:color w:val="auto"/>
          <w:sz w:val="24"/>
        </w:rPr>
        <w:t>（4）按设计要求设置路面宽度。</w:t>
      </w:r>
    </w:p>
    <w:p>
      <w:pPr>
        <w:widowControl/>
        <w:spacing w:line="500" w:lineRule="exact"/>
        <w:ind w:firstLine="480" w:firstLineChars="200"/>
        <w:rPr>
          <w:rFonts w:ascii="宋体" w:hAnsi="宋体"/>
          <w:color w:val="auto"/>
          <w:sz w:val="24"/>
        </w:rPr>
      </w:pPr>
      <w:r>
        <w:rPr>
          <w:rFonts w:hint="eastAsia" w:ascii="宋体" w:hAnsi="宋体"/>
          <w:color w:val="auto"/>
          <w:sz w:val="24"/>
        </w:rPr>
        <w:t>（5）及时维修及保养路面。</w:t>
      </w:r>
    </w:p>
    <w:p>
      <w:pPr>
        <w:widowControl/>
        <w:spacing w:line="500" w:lineRule="exact"/>
        <w:ind w:firstLine="480" w:firstLineChars="200"/>
        <w:rPr>
          <w:rFonts w:ascii="宋体" w:hAnsi="宋体"/>
          <w:color w:val="auto"/>
          <w:sz w:val="24"/>
        </w:rPr>
      </w:pPr>
      <w:r>
        <w:rPr>
          <w:rFonts w:hint="eastAsia" w:ascii="宋体" w:hAnsi="宋体"/>
          <w:color w:val="auto"/>
          <w:sz w:val="24"/>
        </w:rPr>
        <w:t>（6）运输道路临山侧设排水沟。</w:t>
      </w:r>
    </w:p>
    <w:p>
      <w:pPr>
        <w:widowControl/>
        <w:spacing w:line="500" w:lineRule="exact"/>
        <w:ind w:firstLine="480" w:firstLineChars="200"/>
        <w:rPr>
          <w:rFonts w:ascii="宋体" w:hAnsi="宋体"/>
          <w:color w:val="auto"/>
          <w:sz w:val="24"/>
        </w:rPr>
      </w:pPr>
      <w:r>
        <w:rPr>
          <w:rFonts w:hint="eastAsia" w:ascii="宋体" w:hAnsi="宋体"/>
          <w:color w:val="auto"/>
          <w:sz w:val="24"/>
        </w:rPr>
        <w:t>（7）应在运输路段设置限速、安全警示标识，在陡坡或急弯路段临空面设置护拦和挡车垛等。</w:t>
      </w:r>
    </w:p>
    <w:p>
      <w:pPr>
        <w:widowControl/>
        <w:spacing w:line="500" w:lineRule="exact"/>
        <w:ind w:firstLine="480" w:firstLineChars="200"/>
        <w:rPr>
          <w:rFonts w:ascii="宋体" w:hAnsi="宋体"/>
          <w:color w:val="auto"/>
          <w:sz w:val="24"/>
        </w:rPr>
      </w:pPr>
      <w:r>
        <w:rPr>
          <w:rFonts w:hint="eastAsia" w:ascii="宋体" w:hAnsi="宋体"/>
          <w:color w:val="auto"/>
          <w:sz w:val="24"/>
        </w:rPr>
        <w:t>（8）运输道路坡度</w:t>
      </w:r>
      <w:r>
        <w:rPr>
          <w:rFonts w:ascii="宋体" w:hAnsi="宋体"/>
          <w:color w:val="auto"/>
          <w:sz w:val="24"/>
        </w:rPr>
        <w:t>超过</w:t>
      </w:r>
      <w:r>
        <w:rPr>
          <w:rFonts w:hint="eastAsia" w:ascii="宋体" w:hAnsi="宋体"/>
          <w:color w:val="auto"/>
          <w:sz w:val="24"/>
        </w:rPr>
        <w:t>10</w:t>
      </w:r>
      <w:r>
        <w:rPr>
          <w:rFonts w:ascii="宋体" w:hAnsi="宋体"/>
          <w:color w:val="auto"/>
          <w:sz w:val="24"/>
        </w:rPr>
        <w:t>%的路段</w:t>
      </w:r>
      <w:r>
        <w:rPr>
          <w:rFonts w:hint="eastAsia" w:ascii="宋体" w:hAnsi="宋体"/>
          <w:color w:val="auto"/>
          <w:sz w:val="24"/>
        </w:rPr>
        <w:t>只能</w:t>
      </w:r>
      <w:r>
        <w:rPr>
          <w:rFonts w:ascii="宋体" w:hAnsi="宋体"/>
          <w:color w:val="auto"/>
          <w:sz w:val="24"/>
        </w:rPr>
        <w:t>供</w:t>
      </w:r>
      <w:r>
        <w:rPr>
          <w:rFonts w:hint="eastAsia" w:ascii="宋体" w:hAnsi="宋体"/>
          <w:color w:val="auto"/>
          <w:sz w:val="24"/>
        </w:rPr>
        <w:t>挖掘机或</w:t>
      </w:r>
      <w:r>
        <w:rPr>
          <w:rFonts w:ascii="宋体" w:hAnsi="宋体"/>
          <w:color w:val="auto"/>
          <w:sz w:val="24"/>
        </w:rPr>
        <w:t>行人通过。</w:t>
      </w:r>
    </w:p>
    <w:p>
      <w:pPr>
        <w:widowControl/>
        <w:spacing w:line="500" w:lineRule="exact"/>
        <w:ind w:firstLine="480" w:firstLineChars="200"/>
        <w:rPr>
          <w:rFonts w:ascii="宋体" w:hAnsi="宋体"/>
          <w:color w:val="auto"/>
          <w:sz w:val="24"/>
        </w:rPr>
      </w:pPr>
      <w:r>
        <w:rPr>
          <w:rFonts w:hint="eastAsia" w:ascii="宋体" w:hAnsi="宋体"/>
          <w:color w:val="auto"/>
          <w:sz w:val="24"/>
        </w:rPr>
        <w:t>（</w:t>
      </w:r>
      <w:r>
        <w:rPr>
          <w:rFonts w:ascii="宋体" w:hAnsi="宋体"/>
          <w:color w:val="auto"/>
          <w:sz w:val="24"/>
        </w:rPr>
        <w:t>9</w:t>
      </w:r>
      <w:r>
        <w:rPr>
          <w:rFonts w:hint="eastAsia" w:ascii="宋体" w:hAnsi="宋体"/>
          <w:color w:val="auto"/>
          <w:sz w:val="24"/>
        </w:rPr>
        <w:t>）按设计要求购置相应数量及载重量的运输车辆。</w:t>
      </w:r>
    </w:p>
    <w:p>
      <w:pPr>
        <w:widowControl/>
        <w:spacing w:line="500" w:lineRule="exact"/>
        <w:ind w:firstLine="480" w:firstLineChars="200"/>
        <w:rPr>
          <w:rFonts w:ascii="宋体" w:hAnsi="宋体"/>
          <w:color w:val="auto"/>
          <w:sz w:val="24"/>
        </w:rPr>
      </w:pPr>
      <w:r>
        <w:rPr>
          <w:rFonts w:hint="eastAsia" w:ascii="宋体" w:hAnsi="宋体"/>
          <w:color w:val="auto"/>
          <w:sz w:val="24"/>
        </w:rPr>
        <w:t>（</w:t>
      </w:r>
      <w:r>
        <w:rPr>
          <w:rFonts w:ascii="宋体" w:hAnsi="宋体"/>
          <w:color w:val="auto"/>
          <w:sz w:val="24"/>
        </w:rPr>
        <w:t>10</w:t>
      </w:r>
      <w:r>
        <w:rPr>
          <w:rFonts w:hint="eastAsia" w:ascii="宋体" w:hAnsi="宋体"/>
          <w:color w:val="auto"/>
          <w:sz w:val="24"/>
        </w:rPr>
        <w:t>）运输车辆及时检修。</w:t>
      </w:r>
    </w:p>
    <w:p>
      <w:pPr>
        <w:widowControl/>
        <w:spacing w:line="500" w:lineRule="exact"/>
        <w:ind w:firstLine="480" w:firstLineChars="200"/>
        <w:rPr>
          <w:rFonts w:ascii="宋体" w:hAnsi="宋体"/>
          <w:color w:val="auto"/>
          <w:sz w:val="24"/>
        </w:rPr>
      </w:pPr>
      <w:r>
        <w:rPr>
          <w:rFonts w:hint="eastAsia" w:ascii="宋体" w:hAnsi="宋体"/>
          <w:color w:val="auto"/>
          <w:sz w:val="24"/>
        </w:rPr>
        <w:t>（</w:t>
      </w:r>
      <w:r>
        <w:rPr>
          <w:rFonts w:ascii="宋体" w:hAnsi="宋体"/>
          <w:color w:val="auto"/>
          <w:sz w:val="24"/>
        </w:rPr>
        <w:t>11</w:t>
      </w:r>
      <w:r>
        <w:rPr>
          <w:rFonts w:hint="eastAsia" w:ascii="宋体" w:hAnsi="宋体"/>
          <w:color w:val="auto"/>
          <w:sz w:val="24"/>
        </w:rPr>
        <w:t>）严禁超载、超速。</w:t>
      </w:r>
    </w:p>
    <w:p>
      <w:pPr>
        <w:widowControl/>
        <w:spacing w:line="500" w:lineRule="exact"/>
        <w:ind w:firstLine="480" w:firstLineChars="200"/>
        <w:rPr>
          <w:rFonts w:ascii="宋体" w:hAnsi="宋体"/>
          <w:color w:val="auto"/>
          <w:sz w:val="24"/>
        </w:rPr>
      </w:pPr>
      <w:r>
        <w:rPr>
          <w:rFonts w:hint="eastAsia" w:ascii="宋体" w:hAnsi="宋体"/>
          <w:color w:val="auto"/>
          <w:sz w:val="24"/>
        </w:rPr>
        <w:t>（</w:t>
      </w:r>
      <w:r>
        <w:rPr>
          <w:rFonts w:ascii="宋体" w:hAnsi="宋体"/>
          <w:color w:val="auto"/>
          <w:sz w:val="24"/>
        </w:rPr>
        <w:t>12</w:t>
      </w:r>
      <w:r>
        <w:rPr>
          <w:rFonts w:hint="eastAsia" w:ascii="宋体" w:hAnsi="宋体"/>
          <w:color w:val="auto"/>
          <w:sz w:val="24"/>
        </w:rPr>
        <w:t>）驾驶员应持证上岗，驾驶时遵章守纪。严禁疲劳驾驶、酒后驾驶、带病驾驶。</w:t>
      </w:r>
    </w:p>
    <w:p>
      <w:pPr>
        <w:widowControl/>
        <w:spacing w:line="500" w:lineRule="exact"/>
        <w:ind w:firstLine="480" w:firstLineChars="200"/>
        <w:rPr>
          <w:rFonts w:ascii="宋体" w:hAnsi="宋体"/>
          <w:color w:val="auto"/>
          <w:sz w:val="24"/>
        </w:rPr>
      </w:pPr>
      <w:r>
        <w:rPr>
          <w:rFonts w:hint="eastAsia" w:ascii="宋体" w:hAnsi="宋体"/>
          <w:color w:val="auto"/>
          <w:sz w:val="24"/>
        </w:rPr>
        <w:t>（</w:t>
      </w:r>
      <w:r>
        <w:rPr>
          <w:rFonts w:ascii="宋体" w:hAnsi="宋体"/>
          <w:color w:val="auto"/>
          <w:sz w:val="24"/>
        </w:rPr>
        <w:t>13</w:t>
      </w:r>
      <w:r>
        <w:rPr>
          <w:rFonts w:hint="eastAsia" w:ascii="宋体" w:hAnsi="宋体"/>
          <w:color w:val="auto"/>
          <w:sz w:val="24"/>
        </w:rPr>
        <w:t>）挖掘机铲装作业时应停靠或行走在稳固区域。</w:t>
      </w:r>
    </w:p>
    <w:p>
      <w:pPr>
        <w:widowControl/>
        <w:spacing w:line="500" w:lineRule="exact"/>
        <w:ind w:firstLine="480" w:firstLineChars="200"/>
        <w:rPr>
          <w:rFonts w:ascii="宋体" w:hAnsi="宋体"/>
          <w:color w:val="auto"/>
          <w:sz w:val="24"/>
        </w:rPr>
      </w:pPr>
      <w:r>
        <w:rPr>
          <w:rFonts w:hint="eastAsia" w:ascii="宋体" w:hAnsi="宋体"/>
          <w:color w:val="auto"/>
          <w:sz w:val="24"/>
        </w:rPr>
        <w:t>（</w:t>
      </w:r>
      <w:r>
        <w:rPr>
          <w:rFonts w:ascii="宋体" w:hAnsi="宋体"/>
          <w:color w:val="auto"/>
          <w:sz w:val="24"/>
        </w:rPr>
        <w:t>14</w:t>
      </w:r>
      <w:r>
        <w:rPr>
          <w:rFonts w:hint="eastAsia" w:ascii="宋体" w:hAnsi="宋体"/>
          <w:color w:val="auto"/>
          <w:sz w:val="24"/>
        </w:rPr>
        <w:t>）雷雨天气、六级以上大风、大雾天气及夜间时不作业。</w:t>
      </w:r>
    </w:p>
    <w:p>
      <w:pPr>
        <w:widowControl/>
        <w:spacing w:line="500" w:lineRule="exact"/>
        <w:ind w:firstLine="480" w:firstLineChars="200"/>
        <w:rPr>
          <w:rFonts w:ascii="宋体" w:hAnsi="宋体"/>
          <w:color w:val="auto"/>
          <w:sz w:val="24"/>
        </w:rPr>
      </w:pPr>
      <w:r>
        <w:rPr>
          <w:rFonts w:hint="eastAsia" w:ascii="宋体" w:hAnsi="宋体"/>
          <w:color w:val="auto"/>
          <w:sz w:val="24"/>
        </w:rPr>
        <w:t>2）防坍塌滑坡对策措施</w:t>
      </w:r>
    </w:p>
    <w:p>
      <w:pPr>
        <w:widowControl/>
        <w:spacing w:line="500" w:lineRule="exact"/>
        <w:ind w:firstLine="480" w:firstLineChars="200"/>
        <w:rPr>
          <w:rFonts w:ascii="宋体" w:hAnsi="宋体"/>
          <w:color w:val="auto"/>
          <w:sz w:val="24"/>
        </w:rPr>
      </w:pPr>
      <w:r>
        <w:rPr>
          <w:rFonts w:hint="eastAsia" w:ascii="宋体" w:hAnsi="宋体"/>
          <w:color w:val="auto"/>
          <w:sz w:val="24"/>
        </w:rPr>
        <w:t>（1）按规程修筑道路。</w:t>
      </w:r>
    </w:p>
    <w:p>
      <w:pPr>
        <w:widowControl/>
        <w:spacing w:line="500" w:lineRule="exact"/>
        <w:ind w:firstLine="480" w:firstLineChars="200"/>
        <w:rPr>
          <w:rFonts w:ascii="宋体" w:hAnsi="宋体"/>
          <w:color w:val="auto"/>
          <w:sz w:val="24"/>
        </w:rPr>
      </w:pPr>
      <w:r>
        <w:rPr>
          <w:rFonts w:hint="eastAsia" w:ascii="宋体" w:hAnsi="宋体"/>
          <w:color w:val="auto"/>
          <w:sz w:val="24"/>
        </w:rPr>
        <w:t>（2）按要求在道路的傍山侧修建排水沟，并保证其完好有效。</w:t>
      </w:r>
    </w:p>
    <w:p>
      <w:pPr>
        <w:widowControl/>
        <w:spacing w:line="500" w:lineRule="exact"/>
        <w:ind w:firstLine="480" w:firstLineChars="200"/>
        <w:rPr>
          <w:rFonts w:ascii="宋体" w:hAnsi="宋体"/>
          <w:color w:val="auto"/>
          <w:sz w:val="24"/>
        </w:rPr>
      </w:pPr>
      <w:r>
        <w:rPr>
          <w:rFonts w:hint="eastAsia" w:ascii="宋体" w:hAnsi="宋体"/>
          <w:color w:val="auto"/>
          <w:sz w:val="24"/>
        </w:rPr>
        <w:t>（3）加强道路边坡检查维护。</w:t>
      </w:r>
    </w:p>
    <w:p>
      <w:pPr>
        <w:widowControl/>
        <w:spacing w:line="500" w:lineRule="exact"/>
        <w:ind w:firstLine="480" w:firstLineChars="200"/>
        <w:rPr>
          <w:rFonts w:ascii="宋体" w:hAnsi="宋体"/>
          <w:color w:val="auto"/>
          <w:sz w:val="24"/>
        </w:rPr>
      </w:pPr>
      <w:r>
        <w:rPr>
          <w:rFonts w:hint="eastAsia" w:ascii="宋体" w:hAnsi="宋体"/>
          <w:color w:val="auto"/>
          <w:sz w:val="24"/>
        </w:rPr>
        <w:t>（4）运输道路临山坡侧设排水沟。</w:t>
      </w:r>
    </w:p>
    <w:p>
      <w:pPr>
        <w:widowControl/>
        <w:spacing w:line="500" w:lineRule="exact"/>
        <w:ind w:firstLine="480" w:firstLineChars="200"/>
        <w:rPr>
          <w:rFonts w:ascii="宋体" w:hAnsi="宋体"/>
          <w:color w:val="auto"/>
          <w:sz w:val="24"/>
        </w:rPr>
      </w:pPr>
      <w:r>
        <w:rPr>
          <w:rFonts w:ascii="宋体" w:hAnsi="宋体"/>
          <w:color w:val="auto"/>
          <w:sz w:val="24"/>
        </w:rPr>
        <w:t>3</w:t>
      </w:r>
      <w:r>
        <w:rPr>
          <w:rFonts w:hint="eastAsia" w:ascii="宋体" w:hAnsi="宋体"/>
          <w:color w:val="auto"/>
          <w:sz w:val="24"/>
        </w:rPr>
        <w:t>）防物体打击对策措施</w:t>
      </w:r>
    </w:p>
    <w:p>
      <w:pPr>
        <w:widowControl/>
        <w:spacing w:line="500" w:lineRule="exact"/>
        <w:ind w:firstLine="480" w:firstLineChars="200"/>
        <w:rPr>
          <w:rFonts w:ascii="宋体" w:hAnsi="宋体"/>
          <w:color w:val="auto"/>
          <w:sz w:val="24"/>
        </w:rPr>
      </w:pPr>
      <w:r>
        <w:rPr>
          <w:rFonts w:hint="eastAsia" w:ascii="宋体" w:hAnsi="宋体"/>
          <w:color w:val="auto"/>
          <w:sz w:val="24"/>
        </w:rPr>
        <w:t>运输设备、人员经过道路边坡下部时，应先清除道路边坡浮石，对不稳定的路面进行加固处理。</w:t>
      </w:r>
    </w:p>
    <w:p>
      <w:pPr>
        <w:widowControl/>
        <w:spacing w:line="500" w:lineRule="exact"/>
        <w:ind w:firstLine="480" w:firstLineChars="200"/>
        <w:rPr>
          <w:rFonts w:ascii="宋体" w:hAnsi="宋体"/>
          <w:color w:val="auto"/>
          <w:sz w:val="24"/>
        </w:rPr>
      </w:pPr>
      <w:r>
        <w:rPr>
          <w:rFonts w:hint="eastAsia" w:ascii="宋体" w:hAnsi="宋体"/>
          <w:color w:val="auto"/>
          <w:sz w:val="24"/>
        </w:rPr>
        <w:t>3）防高处坠落对策措施</w:t>
      </w:r>
    </w:p>
    <w:p>
      <w:pPr>
        <w:widowControl/>
        <w:spacing w:line="500" w:lineRule="exact"/>
        <w:ind w:firstLine="480" w:firstLineChars="200"/>
        <w:rPr>
          <w:rFonts w:ascii="宋体" w:hAnsi="宋体"/>
          <w:color w:val="auto"/>
          <w:sz w:val="24"/>
        </w:rPr>
      </w:pPr>
      <w:r>
        <w:rPr>
          <w:rFonts w:hint="eastAsia" w:ascii="宋体" w:hAnsi="宋体"/>
          <w:color w:val="auto"/>
          <w:sz w:val="24"/>
        </w:rPr>
        <w:t>（1）行车应距临空面保持1m以上安全距离。</w:t>
      </w:r>
    </w:p>
    <w:p>
      <w:pPr>
        <w:widowControl/>
        <w:spacing w:line="500" w:lineRule="exact"/>
        <w:ind w:firstLine="480" w:firstLineChars="200"/>
        <w:rPr>
          <w:rFonts w:ascii="宋体" w:hAnsi="宋体"/>
          <w:color w:val="auto"/>
          <w:sz w:val="24"/>
        </w:rPr>
      </w:pPr>
      <w:r>
        <w:rPr>
          <w:rFonts w:hint="eastAsia" w:ascii="宋体" w:hAnsi="宋体"/>
          <w:color w:val="auto"/>
          <w:sz w:val="24"/>
        </w:rPr>
        <w:t>（2）在明显位置设警示标志及防护栏。</w:t>
      </w:r>
    </w:p>
    <w:p>
      <w:pPr>
        <w:widowControl/>
        <w:spacing w:line="500" w:lineRule="exact"/>
        <w:ind w:firstLine="480" w:firstLineChars="200"/>
        <w:rPr>
          <w:rFonts w:hint="eastAsia" w:ascii="宋体" w:hAnsi="宋体"/>
          <w:color w:val="auto"/>
          <w:sz w:val="24"/>
        </w:rPr>
      </w:pPr>
      <w:r>
        <w:rPr>
          <w:rFonts w:hint="eastAsia" w:ascii="宋体" w:hAnsi="宋体"/>
          <w:color w:val="auto"/>
          <w:sz w:val="24"/>
        </w:rPr>
        <w:t>4）该运输道路宽度不满足《厂矿道路设计规范》的相关要求，建议下步安全设施设计</w:t>
      </w:r>
      <w:r>
        <w:rPr>
          <w:rFonts w:hint="eastAsia" w:ascii="宋体" w:hAnsi="宋体"/>
          <w:color w:val="auto"/>
          <w:sz w:val="24"/>
          <w:lang w:val="zh-CN"/>
        </w:rPr>
        <w:t>重新对其进行设计；</w:t>
      </w:r>
      <w:r>
        <w:rPr>
          <w:rFonts w:hint="eastAsia" w:ascii="宋体" w:hAnsi="宋体"/>
          <w:color w:val="auto"/>
          <w:sz w:val="24"/>
        </w:rPr>
        <w:t>可行性研究报告未提出运输公路安全设施，建议矿山下一步设计在转弯、陡峻的运输公路内侧设置截排水沟。</w:t>
      </w:r>
    </w:p>
    <w:p>
      <w:pPr>
        <w:pStyle w:val="5"/>
        <w:keepLines w:val="0"/>
        <w:widowControl/>
        <w:spacing w:before="120" w:after="120" w:line="500" w:lineRule="exact"/>
        <w:rPr>
          <w:rFonts w:ascii="宋体" w:hAnsi="宋体"/>
          <w:color w:val="auto"/>
          <w:kern w:val="28"/>
          <w:sz w:val="28"/>
          <w:szCs w:val="28"/>
        </w:rPr>
      </w:pPr>
      <w:r>
        <w:rPr>
          <w:rFonts w:hint="eastAsia" w:ascii="宋体" w:hAnsi="宋体"/>
          <w:color w:val="auto"/>
          <w:kern w:val="28"/>
          <w:sz w:val="28"/>
          <w:szCs w:val="28"/>
        </w:rPr>
        <w:t>4.1.3采剥单元安全对策措施</w:t>
      </w:r>
    </w:p>
    <w:p>
      <w:pPr>
        <w:pStyle w:val="6"/>
        <w:keepLines w:val="0"/>
        <w:widowControl/>
        <w:spacing w:before="0" w:after="0" w:line="500" w:lineRule="exact"/>
        <w:rPr>
          <w:rFonts w:ascii="宋体" w:hAnsi="宋体" w:eastAsia="宋体"/>
          <w:color w:val="auto"/>
          <w:kern w:val="28"/>
        </w:rPr>
      </w:pPr>
      <w:r>
        <w:rPr>
          <w:rFonts w:hint="eastAsia" w:ascii="宋体" w:hAnsi="宋体" w:eastAsia="宋体"/>
          <w:color w:val="auto"/>
          <w:kern w:val="28"/>
        </w:rPr>
        <w:t>4.1.3.</w:t>
      </w:r>
      <w:r>
        <w:rPr>
          <w:rFonts w:ascii="宋体" w:hAnsi="宋体" w:eastAsia="宋体"/>
          <w:color w:val="auto"/>
          <w:kern w:val="28"/>
        </w:rPr>
        <w:t>1</w:t>
      </w:r>
      <w:r>
        <w:rPr>
          <w:rFonts w:hint="eastAsia" w:ascii="宋体" w:hAnsi="宋体" w:eastAsia="宋体"/>
          <w:color w:val="auto"/>
          <w:kern w:val="28"/>
        </w:rPr>
        <w:t>剥离与矿岩开采对策措施</w:t>
      </w:r>
    </w:p>
    <w:p>
      <w:pPr>
        <w:widowControl/>
        <w:spacing w:line="500" w:lineRule="exact"/>
        <w:ind w:firstLine="480" w:firstLineChars="200"/>
        <w:rPr>
          <w:rFonts w:ascii="宋体" w:hAnsi="宋体"/>
          <w:color w:val="auto"/>
          <w:sz w:val="24"/>
        </w:rPr>
      </w:pPr>
      <w:r>
        <w:rPr>
          <w:rFonts w:hint="eastAsia" w:ascii="宋体" w:hAnsi="宋体"/>
          <w:color w:val="auto"/>
          <w:sz w:val="24"/>
        </w:rPr>
        <w:t>1）防坍塌滑坡对策措施</w:t>
      </w:r>
    </w:p>
    <w:p>
      <w:pPr>
        <w:widowControl/>
        <w:spacing w:line="500" w:lineRule="exact"/>
        <w:ind w:firstLine="480" w:firstLineChars="200"/>
        <w:rPr>
          <w:rFonts w:ascii="宋体" w:hAnsi="宋体"/>
          <w:color w:val="auto"/>
          <w:sz w:val="24"/>
        </w:rPr>
      </w:pPr>
      <w:r>
        <w:rPr>
          <w:rFonts w:hint="eastAsia" w:ascii="宋体" w:hAnsi="宋体"/>
          <w:color w:val="auto"/>
          <w:sz w:val="24"/>
        </w:rPr>
        <w:t>（1）设计时，选择合理的台阶参数，台阶作业时按设计的要素进行施工。</w:t>
      </w:r>
    </w:p>
    <w:p>
      <w:pPr>
        <w:widowControl/>
        <w:spacing w:line="500" w:lineRule="exact"/>
        <w:ind w:firstLine="480" w:firstLineChars="200"/>
        <w:rPr>
          <w:rFonts w:ascii="宋体" w:hAnsi="宋体"/>
          <w:color w:val="auto"/>
          <w:sz w:val="24"/>
        </w:rPr>
      </w:pPr>
      <w:r>
        <w:rPr>
          <w:rFonts w:hint="eastAsia" w:ascii="宋体" w:hAnsi="宋体"/>
          <w:color w:val="auto"/>
          <w:sz w:val="24"/>
        </w:rPr>
        <w:t>（2）采场应设置截水沟，各分层台阶设排水沟，截排水沟的排水能力应能满足暴雨季节的排水要求。</w:t>
      </w:r>
    </w:p>
    <w:p>
      <w:pPr>
        <w:widowControl/>
        <w:spacing w:line="500" w:lineRule="exact"/>
        <w:ind w:firstLine="480" w:firstLineChars="200"/>
        <w:rPr>
          <w:rFonts w:ascii="宋体" w:hAnsi="宋体"/>
          <w:color w:val="auto"/>
          <w:sz w:val="24"/>
        </w:rPr>
      </w:pPr>
      <w:r>
        <w:rPr>
          <w:rFonts w:hint="eastAsia" w:ascii="宋体" w:hAnsi="宋体"/>
          <w:color w:val="auto"/>
          <w:sz w:val="24"/>
        </w:rPr>
        <w:t>（4）</w:t>
      </w:r>
      <w:bookmarkStart w:id="255" w:name="_Hlk144114507"/>
      <w:r>
        <w:rPr>
          <w:rFonts w:hint="eastAsia" w:ascii="宋体" w:hAnsi="宋体"/>
          <w:color w:val="auto"/>
          <w:sz w:val="24"/>
        </w:rPr>
        <w:t>严格按照设计的开采顺序开采，严禁掏采、滥采乱挖。加强边坡的监督、检查、管理和维护。</w:t>
      </w:r>
      <w:bookmarkEnd w:id="255"/>
    </w:p>
    <w:p>
      <w:pPr>
        <w:widowControl/>
        <w:spacing w:line="500" w:lineRule="exact"/>
        <w:ind w:firstLine="480" w:firstLineChars="200"/>
        <w:rPr>
          <w:rFonts w:ascii="宋体" w:hAnsi="宋体"/>
          <w:color w:val="auto"/>
          <w:sz w:val="24"/>
        </w:rPr>
      </w:pPr>
      <w:r>
        <w:rPr>
          <w:rFonts w:hint="eastAsia" w:ascii="宋体" w:hAnsi="宋体"/>
          <w:color w:val="auto"/>
          <w:sz w:val="24"/>
        </w:rPr>
        <w:t>（5）作业设备应与台阶坡顶线保持安全距离，并设置安全警示标志。</w:t>
      </w:r>
    </w:p>
    <w:p>
      <w:pPr>
        <w:widowControl/>
        <w:spacing w:line="500" w:lineRule="exact"/>
        <w:ind w:firstLine="480" w:firstLineChars="200"/>
        <w:rPr>
          <w:rFonts w:ascii="宋体" w:hAnsi="宋体"/>
          <w:color w:val="auto"/>
          <w:sz w:val="24"/>
        </w:rPr>
      </w:pPr>
      <w:r>
        <w:rPr>
          <w:rFonts w:hint="eastAsia" w:ascii="宋体" w:hAnsi="宋体"/>
          <w:color w:val="auto"/>
          <w:sz w:val="24"/>
        </w:rPr>
        <w:t>（6）</w:t>
      </w:r>
      <w:r>
        <w:rPr>
          <w:rFonts w:ascii="宋体" w:hAnsi="宋体"/>
          <w:color w:val="auto"/>
          <w:sz w:val="24"/>
        </w:rPr>
        <w:t>在开采过程中遇到</w:t>
      </w:r>
      <w:r>
        <w:rPr>
          <w:rFonts w:hint="eastAsia" w:ascii="宋体" w:hAnsi="宋体"/>
          <w:color w:val="auto"/>
          <w:sz w:val="24"/>
        </w:rPr>
        <w:t>节理、裂隙发育</w:t>
      </w:r>
      <w:r>
        <w:rPr>
          <w:rFonts w:ascii="宋体" w:hAnsi="宋体"/>
          <w:color w:val="auto"/>
          <w:sz w:val="24"/>
        </w:rPr>
        <w:t>的地段</w:t>
      </w:r>
      <w:r>
        <w:rPr>
          <w:rFonts w:hint="eastAsia" w:ascii="宋体" w:hAnsi="宋体"/>
          <w:color w:val="auto"/>
          <w:sz w:val="24"/>
        </w:rPr>
        <w:t>，应及时调整台阶参数。必要时采取加固措施。</w:t>
      </w:r>
    </w:p>
    <w:p>
      <w:pPr>
        <w:widowControl/>
        <w:spacing w:line="500" w:lineRule="exact"/>
        <w:ind w:firstLine="480" w:firstLineChars="200"/>
        <w:rPr>
          <w:rFonts w:ascii="宋体" w:hAnsi="宋体"/>
          <w:color w:val="auto"/>
          <w:sz w:val="24"/>
        </w:rPr>
      </w:pPr>
      <w:r>
        <w:rPr>
          <w:rFonts w:hint="eastAsia" w:ascii="宋体" w:hAnsi="宋体"/>
          <w:color w:val="auto"/>
          <w:sz w:val="24"/>
        </w:rPr>
        <w:t>（7）加强矿区内边坡的治理、监测监控与管理措施。</w:t>
      </w:r>
    </w:p>
    <w:p>
      <w:pPr>
        <w:widowControl/>
        <w:spacing w:line="500" w:lineRule="exact"/>
        <w:ind w:firstLine="480" w:firstLineChars="200"/>
        <w:rPr>
          <w:rFonts w:ascii="宋体" w:hAnsi="宋体"/>
          <w:color w:val="auto"/>
          <w:sz w:val="24"/>
        </w:rPr>
      </w:pPr>
      <w:r>
        <w:rPr>
          <w:rFonts w:hint="eastAsia" w:ascii="宋体" w:hAnsi="宋体"/>
          <w:color w:val="auto"/>
          <w:sz w:val="24"/>
        </w:rPr>
        <w:t>2）防高处坠落对策措施</w:t>
      </w:r>
    </w:p>
    <w:p>
      <w:pPr>
        <w:widowControl/>
        <w:spacing w:line="500" w:lineRule="exact"/>
        <w:ind w:firstLine="480" w:firstLineChars="200"/>
        <w:rPr>
          <w:rFonts w:ascii="宋体" w:hAnsi="宋体"/>
          <w:color w:val="auto"/>
          <w:sz w:val="24"/>
        </w:rPr>
      </w:pPr>
      <w:r>
        <w:rPr>
          <w:rFonts w:hint="eastAsia" w:ascii="宋体" w:hAnsi="宋体"/>
          <w:color w:val="auto"/>
          <w:sz w:val="24"/>
        </w:rPr>
        <w:t>（1）作业时应距台阶边缘、临空面保持1m以上安全距离；</w:t>
      </w:r>
    </w:p>
    <w:p>
      <w:pPr>
        <w:widowControl/>
        <w:spacing w:line="500" w:lineRule="exact"/>
        <w:ind w:firstLine="480" w:firstLineChars="200"/>
        <w:rPr>
          <w:rFonts w:ascii="宋体" w:hAns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）在明显位置设警示标志及防护栏；</w:t>
      </w:r>
    </w:p>
    <w:p>
      <w:pPr>
        <w:widowControl/>
        <w:spacing w:line="500" w:lineRule="exact"/>
        <w:ind w:firstLine="480" w:firstLineChars="200"/>
        <w:rPr>
          <w:rFonts w:ascii="宋体" w:hAns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）临近矿区内台阶外缘作业时，应划定危险区域，设立警示标志，并加强检查。</w:t>
      </w:r>
    </w:p>
    <w:p>
      <w:pPr>
        <w:widowControl/>
        <w:spacing w:line="500" w:lineRule="exact"/>
        <w:ind w:firstLine="480" w:firstLineChars="200"/>
        <w:rPr>
          <w:rFonts w:ascii="宋体" w:hAnsi="宋体"/>
          <w:color w:val="auto"/>
          <w:sz w:val="24"/>
        </w:rPr>
      </w:pPr>
      <w:r>
        <w:rPr>
          <w:rFonts w:hint="eastAsia" w:ascii="宋体" w:hAnsi="宋体"/>
          <w:color w:val="auto"/>
          <w:sz w:val="24"/>
        </w:rPr>
        <w:t>（</w:t>
      </w:r>
      <w:r>
        <w:rPr>
          <w:rFonts w:ascii="宋体" w:hAnsi="宋体"/>
          <w:color w:val="auto"/>
          <w:sz w:val="24"/>
        </w:rPr>
        <w:t>4</w:t>
      </w:r>
      <w:r>
        <w:rPr>
          <w:rFonts w:hint="eastAsia" w:ascii="宋体" w:hAnsi="宋体"/>
          <w:color w:val="auto"/>
          <w:sz w:val="24"/>
        </w:rPr>
        <w:t>）严禁采用人工清理边坡危石、浮石。</w:t>
      </w:r>
    </w:p>
    <w:p>
      <w:pPr>
        <w:widowControl/>
        <w:spacing w:line="500" w:lineRule="exact"/>
        <w:ind w:firstLine="480" w:firstLineChars="200"/>
        <w:rPr>
          <w:rFonts w:ascii="宋体" w:hAnsi="宋体"/>
          <w:color w:val="auto"/>
          <w:sz w:val="24"/>
        </w:rPr>
      </w:pPr>
      <w:r>
        <w:rPr>
          <w:rFonts w:hint="eastAsia" w:ascii="宋体" w:hAnsi="宋体"/>
          <w:color w:val="auto"/>
          <w:sz w:val="24"/>
        </w:rPr>
        <w:t>3）防物体打击对策措施</w:t>
      </w:r>
    </w:p>
    <w:p>
      <w:pPr>
        <w:widowControl/>
        <w:spacing w:line="500" w:lineRule="exact"/>
        <w:ind w:firstLine="480" w:firstLineChars="200"/>
        <w:rPr>
          <w:rFonts w:ascii="宋体" w:hAnsi="宋体"/>
          <w:color w:val="auto"/>
          <w:sz w:val="24"/>
        </w:rPr>
      </w:pPr>
      <w:r>
        <w:rPr>
          <w:rFonts w:hint="eastAsia" w:ascii="宋体" w:hAnsi="宋体"/>
          <w:color w:val="auto"/>
          <w:sz w:val="24"/>
        </w:rPr>
        <w:t>（1）装载矿石前，利用挖掘机处理好边坡上的伞檐、松石和浮石；</w:t>
      </w:r>
    </w:p>
    <w:p>
      <w:pPr>
        <w:widowControl/>
        <w:spacing w:line="500" w:lineRule="exact"/>
        <w:ind w:firstLine="480" w:firstLineChars="200"/>
        <w:rPr>
          <w:rFonts w:ascii="宋体" w:hAns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）严禁掏采；</w:t>
      </w:r>
    </w:p>
    <w:p>
      <w:pPr>
        <w:widowControl/>
        <w:spacing w:line="500" w:lineRule="exact"/>
        <w:ind w:firstLine="480" w:firstLineChars="200"/>
        <w:rPr>
          <w:rFonts w:ascii="宋体" w:hAns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）规范作业，严禁上下层台阶垂直交叉作业，</w:t>
      </w:r>
      <w:r>
        <w:rPr>
          <w:rFonts w:ascii="宋体" w:hAnsi="宋体"/>
          <w:color w:val="auto"/>
          <w:sz w:val="24"/>
        </w:rPr>
        <w:t>若需立体</w:t>
      </w:r>
      <w:r>
        <w:rPr>
          <w:rFonts w:hint="eastAsia" w:ascii="宋体" w:hAnsi="宋体"/>
          <w:color w:val="auto"/>
          <w:sz w:val="24"/>
        </w:rPr>
        <w:t>作业</w:t>
      </w:r>
      <w:r>
        <w:rPr>
          <w:rFonts w:ascii="宋体" w:hAnsi="宋体"/>
          <w:color w:val="auto"/>
          <w:sz w:val="24"/>
        </w:rPr>
        <w:t>，两设备相距必须＞</w:t>
      </w:r>
      <w:r>
        <w:rPr>
          <w:rFonts w:hint="eastAsia" w:ascii="宋体" w:hAnsi="宋体"/>
          <w:color w:val="auto"/>
          <w:sz w:val="24"/>
        </w:rPr>
        <w:t>50</w:t>
      </w:r>
      <w:r>
        <w:rPr>
          <w:rFonts w:ascii="宋体" w:hAnsi="宋体"/>
          <w:color w:val="auto"/>
          <w:sz w:val="24"/>
        </w:rPr>
        <w:t>m</w:t>
      </w:r>
      <w:r>
        <w:rPr>
          <w:rFonts w:hint="eastAsia" w:ascii="宋体" w:hAnsi="宋体"/>
          <w:color w:val="auto"/>
          <w:sz w:val="24"/>
        </w:rPr>
        <w:t>；加强现场管理，清扫及处理边坡时其下方严禁有人员；</w:t>
      </w:r>
    </w:p>
    <w:p>
      <w:pPr>
        <w:widowControl/>
        <w:spacing w:line="500" w:lineRule="exact"/>
        <w:ind w:firstLine="480" w:firstLineChars="200"/>
        <w:rPr>
          <w:rFonts w:ascii="宋体" w:hAnsi="宋体"/>
          <w:color w:val="auto"/>
          <w:sz w:val="24"/>
        </w:rPr>
      </w:pPr>
      <w:r>
        <w:rPr>
          <w:rFonts w:hint="eastAsia" w:ascii="宋体" w:hAnsi="宋体"/>
          <w:color w:val="auto"/>
          <w:sz w:val="24"/>
        </w:rPr>
        <w:t>（</w:t>
      </w:r>
      <w:r>
        <w:rPr>
          <w:rFonts w:ascii="宋体" w:hAnsi="宋体"/>
          <w:color w:val="auto"/>
          <w:sz w:val="24"/>
        </w:rPr>
        <w:t>4</w:t>
      </w:r>
      <w:r>
        <w:rPr>
          <w:rFonts w:hint="eastAsia" w:ascii="宋体" w:hAnsi="宋体"/>
          <w:color w:val="auto"/>
          <w:sz w:val="24"/>
        </w:rPr>
        <w:t>）临近台阶外缘作业时，应划定危险区域，设立警示标志。</w:t>
      </w:r>
    </w:p>
    <w:p>
      <w:pPr>
        <w:widowControl/>
        <w:spacing w:line="500" w:lineRule="exact"/>
        <w:ind w:firstLine="480" w:firstLineChars="200"/>
        <w:rPr>
          <w:rFonts w:ascii="宋体" w:hAnsi="宋体"/>
          <w:color w:val="auto"/>
          <w:sz w:val="24"/>
        </w:rPr>
      </w:pPr>
      <w:r>
        <w:rPr>
          <w:rFonts w:ascii="宋体" w:hAnsi="宋体"/>
          <w:color w:val="auto"/>
          <w:sz w:val="24"/>
        </w:rPr>
        <w:t>4</w:t>
      </w:r>
      <w:r>
        <w:rPr>
          <w:rFonts w:hint="eastAsia" w:ascii="宋体" w:hAnsi="宋体"/>
          <w:color w:val="auto"/>
          <w:sz w:val="24"/>
        </w:rPr>
        <w:t>）防车辆伤害对策措施</w:t>
      </w:r>
    </w:p>
    <w:p>
      <w:pPr>
        <w:widowControl/>
        <w:spacing w:line="500" w:lineRule="exact"/>
        <w:ind w:firstLine="480" w:firstLineChars="200"/>
        <w:rPr>
          <w:rFonts w:ascii="宋体" w:hAns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w:t>
      </w:r>
      <w:r>
        <w:rPr>
          <w:rFonts w:ascii="宋体" w:hAnsi="宋体"/>
          <w:color w:val="auto"/>
          <w:sz w:val="24"/>
        </w:rPr>
        <w:t>加强作业人员培训教育，现场</w:t>
      </w:r>
      <w:r>
        <w:rPr>
          <w:rFonts w:hint="eastAsia" w:ascii="宋体" w:hAnsi="宋体"/>
          <w:color w:val="auto"/>
          <w:sz w:val="24"/>
        </w:rPr>
        <w:t>设</w:t>
      </w:r>
      <w:r>
        <w:rPr>
          <w:rFonts w:ascii="宋体" w:hAnsi="宋体"/>
          <w:color w:val="auto"/>
          <w:sz w:val="24"/>
        </w:rPr>
        <w:t>专人指挥。</w:t>
      </w:r>
    </w:p>
    <w:p>
      <w:pPr>
        <w:widowControl/>
        <w:spacing w:line="500" w:lineRule="exact"/>
        <w:ind w:firstLine="480" w:firstLineChars="200"/>
        <w:rPr>
          <w:rFonts w:ascii="宋体" w:hAns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w:t>
      </w:r>
      <w:r>
        <w:rPr>
          <w:rFonts w:ascii="宋体" w:hAnsi="宋体"/>
          <w:color w:val="auto"/>
          <w:sz w:val="24"/>
        </w:rPr>
        <w:t>加强管理；明确</w:t>
      </w:r>
      <w:r>
        <w:rPr>
          <w:rFonts w:hint="eastAsia" w:ascii="宋体" w:hAnsi="宋体"/>
          <w:color w:val="auto"/>
          <w:sz w:val="24"/>
        </w:rPr>
        <w:t>作业</w:t>
      </w:r>
      <w:r>
        <w:rPr>
          <w:rFonts w:ascii="宋体" w:hAnsi="宋体"/>
          <w:color w:val="auto"/>
          <w:sz w:val="24"/>
        </w:rPr>
        <w:t>信号</w:t>
      </w:r>
      <w:r>
        <w:rPr>
          <w:rFonts w:hint="eastAsia" w:ascii="宋体" w:hAnsi="宋体"/>
          <w:color w:val="auto"/>
          <w:sz w:val="24"/>
        </w:rPr>
        <w:t>。</w:t>
      </w:r>
    </w:p>
    <w:p>
      <w:pPr>
        <w:widowControl/>
        <w:spacing w:line="500" w:lineRule="exact"/>
        <w:ind w:firstLine="480" w:firstLineChars="200"/>
        <w:rPr>
          <w:rFonts w:ascii="宋体" w:hAns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）边坡外侧设安全垛和安全警示标志。保持车辆完好。</w:t>
      </w:r>
    </w:p>
    <w:p>
      <w:pPr>
        <w:widowControl/>
        <w:spacing w:line="500" w:lineRule="exact"/>
        <w:ind w:firstLine="480" w:firstLineChars="200"/>
        <w:rPr>
          <w:rFonts w:ascii="宋体" w:hAnsi="宋体"/>
          <w:color w:val="auto"/>
          <w:sz w:val="24"/>
        </w:rPr>
      </w:pPr>
      <w:r>
        <w:rPr>
          <w:rFonts w:hint="eastAsia" w:ascii="宋体" w:hAnsi="宋体"/>
          <w:color w:val="auto"/>
          <w:sz w:val="24"/>
        </w:rPr>
        <w:t>（4）驾驶员持证上岗，且保持精力充沛，不开疲劳车；严禁酒后或带病开车。</w:t>
      </w:r>
    </w:p>
    <w:p>
      <w:pPr>
        <w:widowControl/>
        <w:spacing w:line="500" w:lineRule="exact"/>
        <w:ind w:firstLine="480" w:firstLineChars="200"/>
        <w:rPr>
          <w:rFonts w:ascii="宋体" w:hAnsi="宋体"/>
          <w:color w:val="auto"/>
          <w:sz w:val="24"/>
        </w:rPr>
      </w:pPr>
      <w:r>
        <w:rPr>
          <w:rFonts w:hint="eastAsia" w:ascii="宋体" w:hAnsi="宋体"/>
          <w:color w:val="auto"/>
          <w:sz w:val="24"/>
        </w:rPr>
        <w:t>（5）危险地段设置限速等安全交通警示标志。</w:t>
      </w:r>
    </w:p>
    <w:p>
      <w:pPr>
        <w:widowControl/>
        <w:spacing w:line="500" w:lineRule="exact"/>
        <w:ind w:firstLine="480" w:firstLineChars="200"/>
        <w:rPr>
          <w:rFonts w:ascii="宋体" w:hAnsi="宋体"/>
          <w:color w:val="auto"/>
          <w:sz w:val="24"/>
        </w:rPr>
      </w:pPr>
      <w:r>
        <w:rPr>
          <w:rFonts w:hint="eastAsia" w:ascii="宋体" w:hAnsi="宋体"/>
          <w:color w:val="auto"/>
          <w:sz w:val="24"/>
        </w:rPr>
        <w:t>（6）一旦发生危险，作业人员应紧急撤离。</w:t>
      </w:r>
    </w:p>
    <w:p>
      <w:pPr>
        <w:widowControl/>
        <w:spacing w:line="500" w:lineRule="exact"/>
        <w:ind w:firstLine="480" w:firstLineChars="200"/>
        <w:rPr>
          <w:rFonts w:ascii="宋体" w:hAnsi="宋体"/>
          <w:color w:val="auto"/>
          <w:sz w:val="24"/>
        </w:rPr>
      </w:pPr>
      <w:r>
        <w:rPr>
          <w:rFonts w:hint="eastAsia" w:ascii="宋体" w:hAnsi="宋体"/>
          <w:color w:val="auto"/>
          <w:sz w:val="24"/>
        </w:rPr>
        <w:t>5）《可行性研究报告》中拟设台阶高度为5m，但编制的图纸中，台阶高度为4-</w:t>
      </w:r>
      <w:r>
        <w:rPr>
          <w:rFonts w:ascii="宋体" w:hAnsi="宋体"/>
          <w:color w:val="auto"/>
          <w:sz w:val="24"/>
        </w:rPr>
        <w:t>12</w:t>
      </w:r>
      <w:r>
        <w:rPr>
          <w:rFonts w:hint="eastAsia" w:ascii="宋体" w:hAnsi="宋体"/>
          <w:color w:val="auto"/>
          <w:sz w:val="24"/>
        </w:rPr>
        <w:t>m，建议下步设计确定工作台阶参数。</w:t>
      </w:r>
    </w:p>
    <w:p>
      <w:pPr>
        <w:pStyle w:val="5"/>
        <w:keepLines w:val="0"/>
        <w:widowControl/>
        <w:spacing w:before="120" w:after="120" w:line="500" w:lineRule="exact"/>
        <w:rPr>
          <w:rFonts w:ascii="宋体" w:hAnsi="宋体"/>
          <w:color w:val="auto"/>
          <w:kern w:val="28"/>
          <w:sz w:val="28"/>
          <w:szCs w:val="28"/>
        </w:rPr>
      </w:pPr>
      <w:r>
        <w:rPr>
          <w:rFonts w:hint="eastAsia" w:ascii="宋体" w:hAnsi="宋体"/>
          <w:color w:val="auto"/>
          <w:kern w:val="28"/>
          <w:sz w:val="28"/>
          <w:szCs w:val="28"/>
        </w:rPr>
        <w:t>4.1.</w:t>
      </w:r>
      <w:r>
        <w:rPr>
          <w:rFonts w:ascii="宋体" w:hAnsi="宋体"/>
          <w:color w:val="auto"/>
          <w:kern w:val="28"/>
          <w:sz w:val="28"/>
          <w:szCs w:val="28"/>
        </w:rPr>
        <w:t>4</w:t>
      </w:r>
      <w:r>
        <w:rPr>
          <w:rFonts w:hint="eastAsia" w:ascii="宋体" w:hAnsi="宋体"/>
          <w:color w:val="auto"/>
          <w:kern w:val="28"/>
          <w:sz w:val="28"/>
          <w:szCs w:val="28"/>
        </w:rPr>
        <w:t>矿山供配电设施单元对策措施</w:t>
      </w:r>
    </w:p>
    <w:p>
      <w:pPr>
        <w:widowControl/>
        <w:spacing w:line="500" w:lineRule="exact"/>
        <w:ind w:firstLine="480" w:firstLineChars="200"/>
        <w:rPr>
          <w:rFonts w:ascii="宋体" w:hAnsi="宋体"/>
          <w:color w:val="auto"/>
          <w:sz w:val="24"/>
        </w:rPr>
      </w:pPr>
      <w:r>
        <w:rPr>
          <w:rFonts w:hint="eastAsia" w:ascii="宋体" w:hAnsi="宋体"/>
          <w:color w:val="auto"/>
          <w:sz w:val="24"/>
        </w:rPr>
        <w:t>1）防触电（雷击）安全对策措施</w:t>
      </w:r>
    </w:p>
    <w:p>
      <w:pPr>
        <w:widowControl/>
        <w:spacing w:line="500" w:lineRule="exact"/>
        <w:ind w:firstLine="480" w:firstLineChars="200"/>
        <w:rPr>
          <w:rFonts w:ascii="宋体" w:hAnsi="宋体"/>
          <w:color w:val="auto"/>
          <w:sz w:val="24"/>
        </w:rPr>
      </w:pPr>
      <w:r>
        <w:rPr>
          <w:rFonts w:hint="eastAsia" w:ascii="宋体" w:hAnsi="宋体"/>
          <w:color w:val="auto"/>
          <w:sz w:val="24"/>
        </w:rPr>
        <w:t>（1）电气作业人员应按规定考核合格方准上岗，上岗应穿戴和使用防护用品、用具进行操作。</w:t>
      </w:r>
    </w:p>
    <w:p>
      <w:pPr>
        <w:widowControl/>
        <w:spacing w:line="500" w:lineRule="exact"/>
        <w:ind w:firstLine="480" w:firstLineChars="200"/>
        <w:rPr>
          <w:rFonts w:ascii="宋体" w:hAnsi="宋体"/>
          <w:color w:val="auto"/>
          <w:sz w:val="24"/>
        </w:rPr>
      </w:pPr>
      <w:r>
        <w:rPr>
          <w:rFonts w:hint="eastAsia" w:ascii="宋体" w:hAnsi="宋体"/>
          <w:color w:val="auto"/>
          <w:sz w:val="24"/>
        </w:rPr>
        <w:t>（2）电气线路维修应由电气作业人员进行，其他人员严禁电气线路维修。</w:t>
      </w:r>
    </w:p>
    <w:p>
      <w:pPr>
        <w:widowControl/>
        <w:spacing w:line="500" w:lineRule="exact"/>
        <w:ind w:firstLine="480" w:firstLineChars="200"/>
        <w:rPr>
          <w:rFonts w:ascii="宋体" w:hAnsi="宋体"/>
          <w:color w:val="auto"/>
          <w:sz w:val="24"/>
        </w:rPr>
      </w:pPr>
      <w:r>
        <w:rPr>
          <w:rFonts w:hint="eastAsia" w:ascii="宋体" w:hAnsi="宋体"/>
          <w:color w:val="auto"/>
          <w:sz w:val="24"/>
        </w:rPr>
        <w:t>（3）供电线路的停电和送电，应执行工作票制度。</w:t>
      </w:r>
    </w:p>
    <w:p>
      <w:pPr>
        <w:widowControl/>
        <w:spacing w:line="500" w:lineRule="exact"/>
        <w:ind w:firstLine="480" w:firstLineChars="200"/>
        <w:rPr>
          <w:rFonts w:ascii="宋体" w:hAnsi="宋体"/>
          <w:color w:val="auto"/>
          <w:sz w:val="24"/>
        </w:rPr>
      </w:pPr>
      <w:r>
        <w:rPr>
          <w:rFonts w:hint="eastAsia" w:ascii="宋体" w:hAnsi="宋体"/>
          <w:color w:val="auto"/>
          <w:sz w:val="24"/>
        </w:rPr>
        <w:t>（4）在电源线路上断电作业时，该线路的电源开关把手，应加锁或设专人看护，并悬挂“有人作业，不准送电”的警示牌。</w:t>
      </w:r>
    </w:p>
    <w:p>
      <w:pPr>
        <w:widowControl/>
        <w:spacing w:line="500" w:lineRule="exact"/>
        <w:ind w:firstLine="480" w:firstLineChars="200"/>
        <w:rPr>
          <w:rFonts w:ascii="宋体" w:hAnsi="宋体"/>
          <w:color w:val="auto"/>
          <w:sz w:val="24"/>
        </w:rPr>
      </w:pPr>
      <w:r>
        <w:rPr>
          <w:rFonts w:hint="eastAsia" w:ascii="宋体" w:hAnsi="宋体"/>
          <w:color w:val="auto"/>
          <w:sz w:val="24"/>
        </w:rPr>
        <w:t>（5）在停电线路上工作时，应采取验电和挂接地线等安全措施。</w:t>
      </w:r>
    </w:p>
    <w:p>
      <w:pPr>
        <w:widowControl/>
        <w:spacing w:line="500" w:lineRule="exact"/>
        <w:ind w:firstLine="480" w:firstLineChars="200"/>
        <w:rPr>
          <w:rFonts w:ascii="宋体" w:hAnsi="宋体"/>
          <w:color w:val="auto"/>
          <w:sz w:val="24"/>
        </w:rPr>
      </w:pPr>
      <w:r>
        <w:rPr>
          <w:rFonts w:hint="eastAsia" w:ascii="宋体" w:hAnsi="宋体"/>
          <w:color w:val="auto"/>
          <w:sz w:val="24"/>
        </w:rPr>
        <w:t>（6）线路跳闸后，不应强行送电，应立即报告由电气作业人员查明原因，排除故障后，方可送电。</w:t>
      </w:r>
    </w:p>
    <w:p>
      <w:pPr>
        <w:widowControl/>
        <w:spacing w:line="500" w:lineRule="exact"/>
        <w:ind w:firstLine="480" w:firstLineChars="200"/>
        <w:rPr>
          <w:rFonts w:ascii="宋体" w:hAnsi="宋体"/>
          <w:color w:val="auto"/>
          <w:sz w:val="24"/>
        </w:rPr>
      </w:pPr>
      <w:r>
        <w:rPr>
          <w:rFonts w:hint="eastAsia" w:ascii="宋体" w:hAnsi="宋体"/>
          <w:color w:val="auto"/>
          <w:sz w:val="24"/>
        </w:rPr>
        <w:t>（7）定期对输电线路进行检查，发现损坏后及时修复。</w:t>
      </w:r>
    </w:p>
    <w:p>
      <w:pPr>
        <w:widowControl/>
        <w:spacing w:line="500" w:lineRule="exact"/>
        <w:ind w:firstLine="480" w:firstLineChars="200"/>
        <w:rPr>
          <w:rFonts w:ascii="宋体" w:hAnsi="宋体"/>
          <w:color w:val="auto"/>
          <w:sz w:val="24"/>
        </w:rPr>
      </w:pPr>
      <w:r>
        <w:rPr>
          <w:rFonts w:hint="eastAsia" w:ascii="宋体" w:hAnsi="宋体"/>
          <w:color w:val="auto"/>
          <w:sz w:val="24"/>
        </w:rPr>
        <w:t>（</w:t>
      </w:r>
      <w:r>
        <w:rPr>
          <w:rFonts w:ascii="宋体" w:hAnsi="宋体"/>
          <w:color w:val="auto"/>
          <w:sz w:val="24"/>
        </w:rPr>
        <w:t>8</w:t>
      </w:r>
      <w:r>
        <w:rPr>
          <w:rFonts w:hint="eastAsia" w:ascii="宋体" w:hAnsi="宋体"/>
          <w:color w:val="auto"/>
          <w:sz w:val="24"/>
        </w:rPr>
        <w:t>）电气设备可能被人触及的裸露带电部分，应设置保护罩或遮栏及警示标志</w:t>
      </w:r>
    </w:p>
    <w:p>
      <w:pPr>
        <w:widowControl/>
        <w:spacing w:line="500" w:lineRule="exact"/>
        <w:ind w:firstLine="480" w:firstLineChars="200"/>
        <w:rPr>
          <w:rFonts w:ascii="宋体" w:hAnsi="宋体"/>
          <w:color w:val="auto"/>
          <w:sz w:val="24"/>
        </w:rPr>
      </w:pPr>
      <w:r>
        <w:rPr>
          <w:rFonts w:hint="eastAsia" w:ascii="宋体" w:hAnsi="宋体"/>
          <w:color w:val="auto"/>
          <w:sz w:val="24"/>
        </w:rPr>
        <w:t>（</w:t>
      </w:r>
      <w:r>
        <w:rPr>
          <w:rFonts w:ascii="宋体" w:hAnsi="宋体"/>
          <w:color w:val="auto"/>
          <w:sz w:val="24"/>
        </w:rPr>
        <w:t>9</w:t>
      </w:r>
      <w:r>
        <w:rPr>
          <w:rFonts w:hint="eastAsia" w:ascii="宋体" w:hAnsi="宋体"/>
          <w:color w:val="auto"/>
          <w:sz w:val="24"/>
        </w:rPr>
        <w:t>）电气设备、设施应设置漏电保护装置，接地（零）装置或保护装置。</w:t>
      </w:r>
    </w:p>
    <w:p>
      <w:pPr>
        <w:widowControl/>
        <w:spacing w:line="500" w:lineRule="exact"/>
        <w:ind w:firstLine="480" w:firstLineChars="200"/>
        <w:rPr>
          <w:rFonts w:ascii="宋体" w:hAnsi="宋体"/>
          <w:color w:val="auto"/>
          <w:sz w:val="24"/>
        </w:rPr>
      </w:pPr>
      <w:r>
        <w:rPr>
          <w:rFonts w:hint="eastAsia" w:ascii="宋体" w:hAnsi="宋体"/>
          <w:color w:val="auto"/>
          <w:sz w:val="24"/>
        </w:rPr>
        <w:t>（</w:t>
      </w:r>
      <w:r>
        <w:rPr>
          <w:rFonts w:ascii="宋体" w:hAnsi="宋体"/>
          <w:color w:val="auto"/>
          <w:sz w:val="24"/>
        </w:rPr>
        <w:t>10</w:t>
      </w:r>
      <w:r>
        <w:rPr>
          <w:rFonts w:hint="eastAsia" w:ascii="宋体" w:hAnsi="宋体"/>
          <w:color w:val="auto"/>
          <w:sz w:val="24"/>
        </w:rPr>
        <w:t>）电气设备和装置的金属框架或外壳、电缆和金属包皮、互感器的二次绕组，应按有关规定进行保护接地。</w:t>
      </w:r>
    </w:p>
    <w:p>
      <w:pPr>
        <w:widowControl/>
        <w:spacing w:line="500" w:lineRule="exact"/>
        <w:ind w:firstLine="480" w:firstLineChars="200"/>
        <w:rPr>
          <w:rFonts w:ascii="宋体" w:hAnsi="宋体"/>
          <w:color w:val="auto"/>
          <w:sz w:val="24"/>
        </w:rPr>
      </w:pPr>
      <w:r>
        <w:rPr>
          <w:rFonts w:hint="eastAsia" w:ascii="宋体" w:hAnsi="宋体"/>
          <w:color w:val="auto"/>
          <w:sz w:val="24"/>
        </w:rPr>
        <w:t>（11）加强作业人员教育，杜绝违规操作。</w:t>
      </w:r>
    </w:p>
    <w:p>
      <w:pPr>
        <w:widowControl/>
        <w:spacing w:line="500" w:lineRule="exact"/>
        <w:ind w:firstLine="480" w:firstLineChars="200"/>
        <w:rPr>
          <w:rFonts w:ascii="宋体" w:hAnsi="宋体"/>
          <w:color w:val="auto"/>
          <w:sz w:val="24"/>
        </w:rPr>
      </w:pPr>
      <w:r>
        <w:rPr>
          <w:rFonts w:hint="eastAsia" w:ascii="宋体" w:hAnsi="宋体"/>
          <w:color w:val="auto"/>
          <w:sz w:val="24"/>
        </w:rPr>
        <w:t>（</w:t>
      </w:r>
      <w:r>
        <w:rPr>
          <w:rFonts w:ascii="宋体" w:hAnsi="宋体"/>
          <w:color w:val="auto"/>
          <w:sz w:val="24"/>
        </w:rPr>
        <w:t>12</w:t>
      </w:r>
      <w:r>
        <w:rPr>
          <w:rFonts w:hint="eastAsia" w:ascii="宋体" w:hAnsi="宋体"/>
          <w:color w:val="auto"/>
          <w:sz w:val="24"/>
        </w:rPr>
        <w:t>）矿山应安装避雷设施。</w:t>
      </w:r>
    </w:p>
    <w:p>
      <w:pPr>
        <w:widowControl/>
        <w:spacing w:line="500" w:lineRule="exact"/>
        <w:ind w:firstLine="480" w:firstLineChars="200"/>
        <w:rPr>
          <w:rFonts w:ascii="宋体" w:hAnsi="宋体"/>
          <w:color w:val="auto"/>
          <w:sz w:val="24"/>
        </w:rPr>
      </w:pPr>
      <w:r>
        <w:rPr>
          <w:rFonts w:hint="eastAsia" w:ascii="宋体" w:hAnsi="宋体"/>
          <w:color w:val="auto"/>
          <w:sz w:val="24"/>
        </w:rPr>
        <w:t>2）防火灾对策措施</w:t>
      </w:r>
    </w:p>
    <w:p>
      <w:pPr>
        <w:widowControl/>
        <w:spacing w:line="500" w:lineRule="exact"/>
        <w:ind w:firstLine="480" w:firstLineChars="200"/>
        <w:rPr>
          <w:rFonts w:ascii="宋体" w:hAnsi="宋体"/>
          <w:color w:val="auto"/>
          <w:sz w:val="24"/>
        </w:rPr>
      </w:pPr>
      <w:r>
        <w:rPr>
          <w:rFonts w:hint="eastAsia" w:ascii="宋体" w:hAnsi="宋体"/>
          <w:color w:val="auto"/>
          <w:sz w:val="24"/>
        </w:rPr>
        <w:t>（1）在带电的导线附近，严禁存放易燃易爆物品，附近茅草应清除。</w:t>
      </w:r>
    </w:p>
    <w:p>
      <w:pPr>
        <w:widowControl/>
        <w:spacing w:line="500" w:lineRule="exact"/>
        <w:ind w:firstLine="480" w:firstLineChars="200"/>
        <w:rPr>
          <w:rFonts w:ascii="宋体" w:hAnsi="宋体"/>
          <w:color w:val="auto"/>
          <w:sz w:val="24"/>
        </w:rPr>
      </w:pPr>
      <w:r>
        <w:rPr>
          <w:rFonts w:hint="eastAsia" w:ascii="宋体" w:hAnsi="宋体"/>
          <w:color w:val="auto"/>
          <w:sz w:val="24"/>
        </w:rPr>
        <w:t>（2）电气线路布置有序，及时更换绝缘老化线路。</w:t>
      </w:r>
    </w:p>
    <w:p>
      <w:pPr>
        <w:widowControl/>
        <w:spacing w:line="500" w:lineRule="exact"/>
        <w:ind w:firstLine="480" w:firstLineChars="200"/>
        <w:rPr>
          <w:rFonts w:ascii="宋体" w:hAns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）定期对用电设备进行检修，长时运转时应检查外壳温度。配备过流保护装置。</w:t>
      </w:r>
    </w:p>
    <w:p>
      <w:pPr>
        <w:widowControl/>
        <w:spacing w:line="500" w:lineRule="exact"/>
        <w:ind w:firstLine="480" w:firstLineChars="200"/>
        <w:rPr>
          <w:rFonts w:ascii="宋体" w:hAnsi="宋体"/>
          <w:color w:val="auto"/>
          <w:sz w:val="24"/>
        </w:rPr>
      </w:pPr>
      <w:r>
        <w:rPr>
          <w:rFonts w:hint="eastAsia" w:ascii="宋体" w:hAnsi="宋体"/>
          <w:color w:val="auto"/>
          <w:sz w:val="24"/>
        </w:rPr>
        <w:t>（</w:t>
      </w:r>
      <w:r>
        <w:rPr>
          <w:rFonts w:ascii="宋体" w:hAnsi="宋体"/>
          <w:color w:val="auto"/>
          <w:sz w:val="24"/>
        </w:rPr>
        <w:t>4</w:t>
      </w:r>
      <w:r>
        <w:rPr>
          <w:rFonts w:hint="eastAsia" w:ascii="宋体" w:hAnsi="宋体"/>
          <w:color w:val="auto"/>
          <w:sz w:val="24"/>
        </w:rPr>
        <w:t>）用电设备周边严禁存放易燃易爆物品。</w:t>
      </w:r>
    </w:p>
    <w:p>
      <w:pPr>
        <w:pStyle w:val="5"/>
        <w:keepLines w:val="0"/>
        <w:widowControl/>
        <w:spacing w:before="120" w:after="120" w:line="500" w:lineRule="exact"/>
        <w:rPr>
          <w:rFonts w:ascii="宋体" w:hAnsi="宋体"/>
          <w:color w:val="auto"/>
          <w:kern w:val="28"/>
          <w:sz w:val="28"/>
          <w:szCs w:val="28"/>
        </w:rPr>
      </w:pPr>
      <w:r>
        <w:rPr>
          <w:rFonts w:hint="eastAsia" w:ascii="宋体" w:hAnsi="宋体"/>
          <w:color w:val="auto"/>
          <w:kern w:val="28"/>
          <w:sz w:val="28"/>
          <w:szCs w:val="28"/>
        </w:rPr>
        <w:t>4.1.</w:t>
      </w:r>
      <w:r>
        <w:rPr>
          <w:rFonts w:ascii="宋体" w:hAnsi="宋体"/>
          <w:color w:val="auto"/>
          <w:kern w:val="28"/>
          <w:sz w:val="28"/>
          <w:szCs w:val="28"/>
        </w:rPr>
        <w:t>5</w:t>
      </w:r>
      <w:r>
        <w:rPr>
          <w:rFonts w:hint="eastAsia" w:ascii="宋体" w:hAnsi="宋体"/>
          <w:color w:val="auto"/>
          <w:kern w:val="28"/>
          <w:sz w:val="28"/>
          <w:szCs w:val="28"/>
        </w:rPr>
        <w:t>防排水单元对策措施</w:t>
      </w:r>
    </w:p>
    <w:p>
      <w:pPr>
        <w:widowControl/>
        <w:spacing w:line="500" w:lineRule="exact"/>
        <w:ind w:firstLine="480" w:firstLineChars="200"/>
        <w:rPr>
          <w:rFonts w:ascii="宋体" w:hAnsi="宋体"/>
          <w:color w:val="auto"/>
          <w:sz w:val="24"/>
        </w:rPr>
      </w:pPr>
      <w:r>
        <w:rPr>
          <w:rFonts w:hint="eastAsia" w:ascii="宋体" w:hAnsi="宋体"/>
          <w:color w:val="auto"/>
          <w:sz w:val="24"/>
        </w:rPr>
        <w:t>1）防坍塌滑坡对策措施</w:t>
      </w:r>
    </w:p>
    <w:p>
      <w:pPr>
        <w:widowControl/>
        <w:spacing w:line="500" w:lineRule="exact"/>
        <w:ind w:firstLine="480" w:firstLineChars="200"/>
        <w:rPr>
          <w:rFonts w:ascii="宋体" w:hAnsi="宋体"/>
          <w:color w:val="auto"/>
          <w:sz w:val="24"/>
        </w:rPr>
      </w:pPr>
      <w:r>
        <w:rPr>
          <w:rFonts w:hint="eastAsia" w:ascii="宋体" w:hAnsi="宋体"/>
          <w:color w:val="auto"/>
          <w:sz w:val="24"/>
        </w:rPr>
        <w:t>（1）设计应按日最大降雨量对截排水沟排水能力进行校核。</w:t>
      </w:r>
    </w:p>
    <w:p>
      <w:pPr>
        <w:widowControl/>
        <w:spacing w:line="500" w:lineRule="exact"/>
        <w:ind w:firstLine="480" w:firstLineChars="200"/>
        <w:rPr>
          <w:rFonts w:ascii="宋体" w:hAnsi="宋体"/>
          <w:color w:val="auto"/>
          <w:sz w:val="24"/>
        </w:rPr>
      </w:pPr>
      <w:r>
        <w:rPr>
          <w:rFonts w:hint="eastAsia" w:ascii="宋体" w:hAnsi="宋体"/>
          <w:color w:val="auto"/>
          <w:sz w:val="24"/>
        </w:rPr>
        <w:t>（</w:t>
      </w:r>
      <w:r>
        <w:rPr>
          <w:rFonts w:ascii="宋体" w:hAnsi="宋体"/>
          <w:color w:val="auto"/>
          <w:sz w:val="24"/>
        </w:rPr>
        <w:t>2</w:t>
      </w:r>
      <w:r>
        <w:rPr>
          <w:rFonts w:hint="eastAsia" w:ascii="宋体" w:hAnsi="宋体"/>
          <w:color w:val="auto"/>
          <w:sz w:val="24"/>
        </w:rPr>
        <w:t>）矿山应严格按设计要求进行防排水系统修建并定期进行检查及维护。</w:t>
      </w:r>
    </w:p>
    <w:p>
      <w:pPr>
        <w:widowControl/>
        <w:spacing w:line="500" w:lineRule="exact"/>
        <w:ind w:firstLine="480" w:firstLineChars="200"/>
        <w:rPr>
          <w:rFonts w:ascii="宋体" w:hAns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）在采场各台阶内侧修筑排水沟。</w:t>
      </w:r>
    </w:p>
    <w:p>
      <w:pPr>
        <w:widowControl/>
        <w:spacing w:line="500" w:lineRule="exact"/>
        <w:ind w:firstLine="480" w:firstLineChars="200"/>
        <w:rPr>
          <w:rFonts w:ascii="宋体" w:hAnsi="宋体"/>
          <w:color w:val="auto"/>
          <w:sz w:val="24"/>
        </w:rPr>
      </w:pPr>
      <w:r>
        <w:rPr>
          <w:rFonts w:hint="eastAsia" w:ascii="宋体" w:hAnsi="宋体"/>
          <w:color w:val="auto"/>
          <w:sz w:val="24"/>
        </w:rPr>
        <w:t>（</w:t>
      </w:r>
      <w:r>
        <w:rPr>
          <w:rFonts w:ascii="宋体" w:hAnsi="宋体"/>
          <w:color w:val="auto"/>
          <w:sz w:val="24"/>
        </w:rPr>
        <w:t>4</w:t>
      </w:r>
      <w:r>
        <w:rPr>
          <w:rFonts w:hint="eastAsia" w:ascii="宋体" w:hAnsi="宋体"/>
          <w:color w:val="auto"/>
          <w:sz w:val="24"/>
        </w:rPr>
        <w:t>）完善采场上部的排水沟；</w:t>
      </w:r>
    </w:p>
    <w:p>
      <w:pPr>
        <w:widowControl/>
        <w:spacing w:line="500" w:lineRule="exact"/>
        <w:ind w:firstLine="480" w:firstLineChars="200"/>
        <w:rPr>
          <w:rFonts w:ascii="宋体" w:hAnsi="宋体"/>
          <w:color w:val="auto"/>
          <w:sz w:val="24"/>
        </w:rPr>
      </w:pPr>
      <w:r>
        <w:rPr>
          <w:rFonts w:hint="eastAsia" w:ascii="宋体" w:hAnsi="宋体"/>
          <w:color w:val="auto"/>
          <w:sz w:val="24"/>
        </w:rPr>
        <w:t>（</w:t>
      </w:r>
      <w:r>
        <w:rPr>
          <w:rFonts w:ascii="宋体" w:hAnsi="宋体"/>
          <w:color w:val="auto"/>
          <w:sz w:val="24"/>
        </w:rPr>
        <w:t>5</w:t>
      </w:r>
      <w:r>
        <w:rPr>
          <w:rFonts w:hint="eastAsia" w:ascii="宋体" w:hAnsi="宋体"/>
          <w:color w:val="auto"/>
          <w:sz w:val="24"/>
        </w:rPr>
        <w:t>）加强采场边坡的监测。</w:t>
      </w:r>
    </w:p>
    <w:p>
      <w:pPr>
        <w:widowControl/>
        <w:spacing w:line="500" w:lineRule="exact"/>
        <w:ind w:firstLine="480" w:firstLineChars="200"/>
        <w:rPr>
          <w:rFonts w:ascii="宋体" w:hAnsi="宋体"/>
          <w:color w:val="auto"/>
          <w:sz w:val="24"/>
        </w:rPr>
      </w:pPr>
      <w:r>
        <w:rPr>
          <w:rFonts w:hint="eastAsia" w:ascii="宋体" w:hAnsi="宋体"/>
          <w:color w:val="auto"/>
          <w:sz w:val="24"/>
        </w:rPr>
        <w:t>2）防车辆伤害对策措施</w:t>
      </w:r>
    </w:p>
    <w:p>
      <w:pPr>
        <w:widowControl/>
        <w:spacing w:line="500" w:lineRule="exact"/>
        <w:ind w:firstLine="480" w:firstLineChars="200"/>
        <w:rPr>
          <w:rFonts w:ascii="宋体" w:hAnsi="宋体"/>
          <w:color w:val="auto"/>
          <w:sz w:val="24"/>
        </w:rPr>
      </w:pPr>
      <w:r>
        <w:rPr>
          <w:rFonts w:hint="eastAsia" w:ascii="宋体" w:hAnsi="宋体"/>
          <w:color w:val="auto"/>
          <w:sz w:val="24"/>
        </w:rPr>
        <w:t>（1）修筑好道路内侧的排水沟。</w:t>
      </w:r>
    </w:p>
    <w:p>
      <w:pPr>
        <w:widowControl/>
        <w:spacing w:line="500" w:lineRule="exact"/>
        <w:ind w:firstLine="480" w:firstLineChars="200"/>
        <w:rPr>
          <w:rFonts w:ascii="宋体" w:hAnsi="宋体"/>
          <w:color w:val="auto"/>
          <w:sz w:val="24"/>
        </w:rPr>
      </w:pPr>
      <w:r>
        <w:rPr>
          <w:rFonts w:hint="eastAsia" w:ascii="宋体" w:hAnsi="宋体"/>
          <w:color w:val="auto"/>
          <w:sz w:val="24"/>
        </w:rPr>
        <w:t>（2）加强管理。</w:t>
      </w:r>
    </w:p>
    <w:p>
      <w:pPr>
        <w:widowControl/>
        <w:spacing w:line="500" w:lineRule="exact"/>
        <w:ind w:firstLine="480" w:firstLineChars="200"/>
        <w:rPr>
          <w:rFonts w:ascii="宋体" w:hAnsi="宋体"/>
          <w:color w:val="auto"/>
          <w:sz w:val="24"/>
        </w:rPr>
      </w:pPr>
      <w:r>
        <w:rPr>
          <w:rFonts w:hint="eastAsia" w:ascii="宋体" w:hAnsi="宋体"/>
          <w:color w:val="auto"/>
          <w:sz w:val="24"/>
        </w:rPr>
        <w:t>3）防火灾对策措施</w:t>
      </w:r>
    </w:p>
    <w:p>
      <w:pPr>
        <w:widowControl/>
        <w:spacing w:line="500" w:lineRule="exact"/>
        <w:ind w:firstLine="480" w:firstLineChars="200"/>
        <w:rPr>
          <w:rFonts w:ascii="宋体" w:hAnsi="宋体"/>
          <w:color w:val="auto"/>
          <w:sz w:val="24"/>
        </w:rPr>
      </w:pPr>
      <w:r>
        <w:rPr>
          <w:rFonts w:hint="eastAsia" w:ascii="宋体" w:hAnsi="宋体"/>
          <w:color w:val="auto"/>
          <w:sz w:val="24"/>
        </w:rPr>
        <w:t>（1）建立蓄水设施；</w:t>
      </w:r>
    </w:p>
    <w:p>
      <w:pPr>
        <w:widowControl/>
        <w:spacing w:line="500" w:lineRule="exact"/>
        <w:ind w:firstLine="480" w:firstLineChars="200"/>
        <w:rPr>
          <w:rFonts w:ascii="宋体" w:hAnsi="宋体"/>
          <w:color w:val="auto"/>
          <w:sz w:val="24"/>
        </w:rPr>
      </w:pPr>
      <w:r>
        <w:rPr>
          <w:rFonts w:hint="eastAsia" w:ascii="宋体" w:hAnsi="宋体"/>
          <w:color w:val="auto"/>
          <w:sz w:val="24"/>
        </w:rPr>
        <w:t>（2）配备相应的灭火器材；</w:t>
      </w:r>
    </w:p>
    <w:p>
      <w:pPr>
        <w:widowControl/>
        <w:spacing w:line="500" w:lineRule="exact"/>
        <w:ind w:firstLine="480" w:firstLineChars="200"/>
        <w:rPr>
          <w:rFonts w:ascii="宋体" w:hAnsi="宋体"/>
          <w:color w:val="auto"/>
          <w:sz w:val="24"/>
        </w:rPr>
      </w:pPr>
      <w:r>
        <w:rPr>
          <w:rFonts w:hint="eastAsia" w:ascii="宋体" w:hAnsi="宋体"/>
          <w:color w:val="auto"/>
          <w:sz w:val="24"/>
        </w:rPr>
        <w:t>（3）完善矿区的供水系统及供水设施。</w:t>
      </w:r>
    </w:p>
    <w:p>
      <w:pPr>
        <w:pStyle w:val="25"/>
        <w:widowControl/>
        <w:spacing w:line="500" w:lineRule="exact"/>
        <w:ind w:firstLine="480"/>
        <w:rPr>
          <w:rFonts w:hint="eastAsia"/>
          <w:color w:val="auto"/>
          <w:sz w:val="24"/>
        </w:rPr>
      </w:pPr>
      <w:r>
        <w:rPr>
          <w:rFonts w:hint="eastAsia"/>
          <w:color w:val="auto"/>
          <w:sz w:val="24"/>
        </w:rPr>
        <w:t>4）建议下步安全设施设计计算拟设置的排水沟与当地最大涌水量是否匹配。</w:t>
      </w:r>
    </w:p>
    <w:p>
      <w:pPr>
        <w:widowControl/>
        <w:spacing w:line="500" w:lineRule="exact"/>
        <w:ind w:firstLine="480" w:firstLineChars="200"/>
        <w:rPr>
          <w:rFonts w:ascii="宋体" w:hAnsi="宋体"/>
          <w:color w:val="auto"/>
          <w:sz w:val="24"/>
        </w:rPr>
      </w:pPr>
      <w:r>
        <w:rPr>
          <w:rFonts w:ascii="宋体" w:hAnsi="宋体"/>
          <w:color w:val="auto"/>
          <w:sz w:val="24"/>
        </w:rPr>
        <w:t>5</w:t>
      </w:r>
      <w:r>
        <w:rPr>
          <w:rFonts w:hint="eastAsia" w:ascii="宋体" w:hAnsi="宋体"/>
          <w:color w:val="auto"/>
          <w:sz w:val="24"/>
        </w:rPr>
        <w:t>）《可行性研究报告》拟在距离采场边界</w:t>
      </w:r>
      <w:r>
        <w:rPr>
          <w:rFonts w:ascii="宋体" w:hAnsi="宋体"/>
          <w:color w:val="auto"/>
          <w:sz w:val="24"/>
        </w:rPr>
        <w:t>5-10</w:t>
      </w:r>
      <w:r>
        <w:rPr>
          <w:rFonts w:hint="eastAsia" w:ascii="宋体" w:hAnsi="宋体"/>
          <w:color w:val="auto"/>
          <w:sz w:val="24"/>
        </w:rPr>
        <w:t>m挖掘截洪沟，建议企业与相关部门协商，完成征地工作。</w:t>
      </w:r>
    </w:p>
    <w:p>
      <w:pPr>
        <w:pStyle w:val="5"/>
        <w:spacing w:before="100" w:after="100" w:line="500" w:lineRule="exact"/>
        <w:rPr>
          <w:rFonts w:ascii="宋体" w:hAnsi="宋体"/>
          <w:color w:val="auto"/>
          <w:sz w:val="28"/>
          <w:szCs w:val="28"/>
        </w:rPr>
      </w:pPr>
      <w:r>
        <w:rPr>
          <w:rFonts w:hint="eastAsia" w:ascii="宋体" w:hAnsi="宋体"/>
          <w:color w:val="auto"/>
          <w:sz w:val="28"/>
          <w:szCs w:val="28"/>
        </w:rPr>
        <w:t>4.1.</w:t>
      </w:r>
      <w:r>
        <w:rPr>
          <w:rFonts w:ascii="宋体" w:hAnsi="宋体"/>
          <w:color w:val="auto"/>
          <w:sz w:val="28"/>
          <w:szCs w:val="28"/>
        </w:rPr>
        <w:t>6</w:t>
      </w:r>
      <w:r>
        <w:rPr>
          <w:rFonts w:hint="eastAsia" w:ascii="宋体" w:hAnsi="宋体"/>
          <w:color w:val="auto"/>
          <w:sz w:val="28"/>
          <w:szCs w:val="28"/>
        </w:rPr>
        <w:t>排土场单元安全对策措施</w:t>
      </w:r>
    </w:p>
    <w:p>
      <w:pPr>
        <w:spacing w:line="500" w:lineRule="exact"/>
        <w:ind w:firstLine="480" w:firstLineChars="200"/>
        <w:rPr>
          <w:rFonts w:ascii="宋体" w:hAnsi="宋体"/>
          <w:color w:val="auto"/>
          <w:sz w:val="24"/>
        </w:rPr>
      </w:pPr>
      <w:r>
        <w:rPr>
          <w:rFonts w:hint="eastAsia" w:ascii="宋体" w:hAnsi="宋体"/>
          <w:color w:val="auto"/>
          <w:sz w:val="24"/>
        </w:rPr>
        <w:t>1）防坍塌滑坡对策措施</w:t>
      </w:r>
    </w:p>
    <w:p>
      <w:pPr>
        <w:spacing w:line="500" w:lineRule="exact"/>
        <w:ind w:firstLine="480" w:firstLineChars="200"/>
        <w:rPr>
          <w:rFonts w:ascii="宋体" w:hAnsi="宋体"/>
          <w:color w:val="auto"/>
          <w:sz w:val="24"/>
        </w:rPr>
      </w:pPr>
      <w:r>
        <w:rPr>
          <w:rFonts w:hint="eastAsia" w:ascii="宋体" w:hAnsi="宋体"/>
          <w:color w:val="auto"/>
          <w:sz w:val="24"/>
        </w:rPr>
        <w:t>（</w:t>
      </w:r>
      <w:r>
        <w:rPr>
          <w:rFonts w:ascii="宋体" w:hAnsi="宋体"/>
          <w:color w:val="auto"/>
          <w:sz w:val="24"/>
        </w:rPr>
        <w:t>1</w:t>
      </w:r>
      <w:r>
        <w:rPr>
          <w:rFonts w:hint="eastAsia" w:ascii="宋体" w:hAnsi="宋体"/>
          <w:color w:val="auto"/>
          <w:sz w:val="24"/>
        </w:rPr>
        <w:t>）</w:t>
      </w:r>
      <w:r>
        <w:rPr>
          <w:rFonts w:ascii="宋体" w:hAnsi="宋体"/>
          <w:color w:val="auto"/>
          <w:sz w:val="24"/>
        </w:rPr>
        <w:t>按设计设置截排水设施。</w:t>
      </w:r>
    </w:p>
    <w:p>
      <w:pPr>
        <w:spacing w:line="500" w:lineRule="exact"/>
        <w:ind w:firstLine="480" w:firstLineChars="200"/>
        <w:rPr>
          <w:rFonts w:ascii="宋体" w:hAnsi="宋体"/>
          <w:color w:val="auto"/>
          <w:sz w:val="24"/>
        </w:rPr>
      </w:pPr>
      <w:r>
        <w:rPr>
          <w:rFonts w:ascii="宋体" w:hAnsi="宋体"/>
          <w:color w:val="auto"/>
          <w:sz w:val="24"/>
        </w:rPr>
        <w:t>（2）由</w:t>
      </w:r>
      <w:r>
        <w:rPr>
          <w:rFonts w:hint="eastAsia" w:ascii="宋体" w:hAnsi="宋体"/>
          <w:color w:val="auto"/>
          <w:sz w:val="24"/>
        </w:rPr>
        <w:t>有资质的</w:t>
      </w:r>
      <w:r>
        <w:rPr>
          <w:rFonts w:ascii="宋体" w:hAnsi="宋体"/>
          <w:color w:val="auto"/>
          <w:sz w:val="24"/>
        </w:rPr>
        <w:t>设计单位进行设计，并</w:t>
      </w:r>
      <w:r>
        <w:rPr>
          <w:rFonts w:hint="eastAsia" w:ascii="宋体" w:hAnsi="宋体"/>
          <w:color w:val="auto"/>
          <w:sz w:val="24"/>
        </w:rPr>
        <w:t>建立监测系统观察。</w:t>
      </w:r>
    </w:p>
    <w:p>
      <w:pPr>
        <w:spacing w:line="500" w:lineRule="exact"/>
        <w:ind w:firstLine="480" w:firstLineChars="200"/>
        <w:rPr>
          <w:rFonts w:ascii="宋体" w:hAnsi="宋体"/>
          <w:color w:val="auto"/>
          <w:sz w:val="24"/>
        </w:rPr>
      </w:pPr>
      <w:r>
        <w:rPr>
          <w:rFonts w:hint="eastAsia" w:ascii="宋体" w:hAnsi="宋体"/>
          <w:color w:val="auto"/>
          <w:sz w:val="24"/>
        </w:rPr>
        <w:t>（</w:t>
      </w:r>
      <w:r>
        <w:rPr>
          <w:rFonts w:ascii="宋体" w:hAnsi="宋体"/>
          <w:color w:val="auto"/>
          <w:sz w:val="24"/>
        </w:rPr>
        <w:t>3</w:t>
      </w:r>
      <w:r>
        <w:rPr>
          <w:rFonts w:hint="eastAsia" w:ascii="宋体" w:hAnsi="宋体"/>
          <w:color w:val="auto"/>
          <w:sz w:val="24"/>
        </w:rPr>
        <w:t>）</w:t>
      </w:r>
      <w:r>
        <w:rPr>
          <w:rFonts w:ascii="宋体" w:hAnsi="宋体"/>
          <w:color w:val="auto"/>
          <w:sz w:val="24"/>
        </w:rPr>
        <w:t>按作业安全规程作业</w:t>
      </w:r>
      <w:r>
        <w:rPr>
          <w:rFonts w:hint="eastAsia" w:ascii="宋体" w:hAnsi="宋体"/>
          <w:color w:val="auto"/>
          <w:sz w:val="24"/>
        </w:rPr>
        <w:t>。</w:t>
      </w:r>
    </w:p>
    <w:p>
      <w:pPr>
        <w:spacing w:line="500" w:lineRule="exact"/>
        <w:ind w:firstLine="480" w:firstLineChars="200"/>
        <w:rPr>
          <w:rFonts w:ascii="宋体" w:hAnsi="宋体"/>
          <w:color w:val="auto"/>
          <w:sz w:val="24"/>
        </w:rPr>
      </w:pPr>
      <w:r>
        <w:rPr>
          <w:rFonts w:hint="eastAsia" w:ascii="宋体" w:hAnsi="宋体"/>
          <w:color w:val="auto"/>
          <w:sz w:val="24"/>
        </w:rPr>
        <w:t>2）防车辆伤害对策措施</w:t>
      </w:r>
    </w:p>
    <w:p>
      <w:pPr>
        <w:spacing w:line="500" w:lineRule="exact"/>
        <w:ind w:firstLine="480" w:firstLineChars="200"/>
        <w:rPr>
          <w:rFonts w:ascii="宋体" w:hAnsi="宋体"/>
          <w:color w:val="auto"/>
          <w:sz w:val="24"/>
        </w:rPr>
      </w:pPr>
      <w:r>
        <w:rPr>
          <w:rFonts w:hint="eastAsia" w:ascii="宋体" w:hAnsi="宋体"/>
          <w:color w:val="auto"/>
          <w:sz w:val="24"/>
        </w:rPr>
        <w:t>（1）</w:t>
      </w:r>
      <w:r>
        <w:rPr>
          <w:rFonts w:ascii="宋体" w:hAnsi="宋体"/>
          <w:color w:val="auto"/>
          <w:sz w:val="24"/>
        </w:rPr>
        <w:t>设挡车堤。</w:t>
      </w:r>
    </w:p>
    <w:p>
      <w:pPr>
        <w:spacing w:line="500" w:lineRule="exact"/>
        <w:ind w:firstLine="480" w:firstLineChars="200"/>
        <w:rPr>
          <w:rFonts w:ascii="宋体" w:hAnsi="宋体"/>
          <w:color w:val="auto"/>
          <w:sz w:val="24"/>
        </w:rPr>
      </w:pPr>
      <w:r>
        <w:rPr>
          <w:rFonts w:hint="eastAsia" w:ascii="宋体" w:hAnsi="宋体"/>
          <w:color w:val="auto"/>
          <w:sz w:val="24"/>
        </w:rPr>
        <w:t>（2）</w:t>
      </w:r>
      <w:r>
        <w:rPr>
          <w:rFonts w:ascii="宋体" w:hAnsi="宋体"/>
          <w:color w:val="auto"/>
          <w:sz w:val="24"/>
        </w:rPr>
        <w:t>工作面设反坡。</w:t>
      </w:r>
    </w:p>
    <w:p>
      <w:pPr>
        <w:spacing w:line="500" w:lineRule="exact"/>
        <w:ind w:firstLine="480" w:firstLineChars="200"/>
        <w:rPr>
          <w:rFonts w:ascii="宋体" w:hAnsi="宋体"/>
          <w:color w:val="auto"/>
          <w:sz w:val="24"/>
        </w:rPr>
      </w:pPr>
      <w:r>
        <w:rPr>
          <w:rFonts w:hint="eastAsia" w:ascii="宋体" w:hAnsi="宋体"/>
          <w:color w:val="auto"/>
          <w:sz w:val="24"/>
        </w:rPr>
        <w:t>（3）</w:t>
      </w:r>
      <w:r>
        <w:rPr>
          <w:rFonts w:ascii="宋体" w:hAnsi="宋体"/>
          <w:color w:val="auto"/>
          <w:sz w:val="24"/>
        </w:rPr>
        <w:t>专人</w:t>
      </w:r>
      <w:r>
        <w:rPr>
          <w:rFonts w:hint="eastAsia" w:ascii="宋体" w:hAnsi="宋体"/>
          <w:color w:val="auto"/>
          <w:sz w:val="24"/>
        </w:rPr>
        <w:t>指挥。</w:t>
      </w:r>
    </w:p>
    <w:p>
      <w:pPr>
        <w:spacing w:line="500" w:lineRule="exact"/>
        <w:ind w:firstLine="480" w:firstLineChars="200"/>
        <w:rPr>
          <w:rFonts w:ascii="宋体" w:hAnsi="宋体"/>
          <w:color w:val="auto"/>
          <w:sz w:val="24"/>
        </w:rPr>
      </w:pPr>
      <w:r>
        <w:rPr>
          <w:rFonts w:hint="eastAsia" w:ascii="宋体" w:hAnsi="宋体"/>
          <w:color w:val="auto"/>
          <w:sz w:val="24"/>
        </w:rPr>
        <w:t>3）防高处坠落对策措施</w:t>
      </w:r>
    </w:p>
    <w:p>
      <w:pPr>
        <w:spacing w:line="500" w:lineRule="exact"/>
        <w:ind w:firstLine="480" w:firstLineChars="200"/>
        <w:rPr>
          <w:rFonts w:ascii="宋体" w:hAnsi="宋体"/>
          <w:color w:val="auto"/>
          <w:sz w:val="24"/>
        </w:rPr>
      </w:pPr>
      <w:r>
        <w:rPr>
          <w:rFonts w:hint="eastAsia" w:ascii="宋体" w:hAnsi="宋体"/>
          <w:color w:val="auto"/>
          <w:sz w:val="24"/>
        </w:rPr>
        <w:t>（1）加强现场作业管理。</w:t>
      </w:r>
    </w:p>
    <w:p>
      <w:pPr>
        <w:spacing w:line="500" w:lineRule="exact"/>
        <w:ind w:firstLine="480" w:firstLineChars="200"/>
        <w:rPr>
          <w:rFonts w:ascii="宋体" w:hAnsi="宋体"/>
          <w:color w:val="auto"/>
          <w:sz w:val="24"/>
        </w:rPr>
      </w:pPr>
      <w:r>
        <w:rPr>
          <w:rFonts w:hint="eastAsia" w:ascii="宋体" w:hAnsi="宋体"/>
          <w:color w:val="auto"/>
          <w:sz w:val="24"/>
        </w:rPr>
        <w:t>（2）作业时专人指挥。</w:t>
      </w:r>
    </w:p>
    <w:p>
      <w:pPr>
        <w:spacing w:line="500" w:lineRule="exact"/>
        <w:ind w:firstLine="480" w:firstLineChars="200"/>
        <w:rPr>
          <w:rFonts w:ascii="宋体" w:hAnsi="宋体"/>
          <w:color w:val="auto"/>
          <w:sz w:val="24"/>
        </w:rPr>
      </w:pPr>
      <w:r>
        <w:rPr>
          <w:rFonts w:hint="eastAsia" w:ascii="宋体" w:hAnsi="宋体"/>
          <w:color w:val="auto"/>
          <w:sz w:val="24"/>
        </w:rPr>
        <w:t>4）防物体打击对策措施</w:t>
      </w:r>
    </w:p>
    <w:p>
      <w:pPr>
        <w:spacing w:line="500" w:lineRule="exact"/>
        <w:ind w:firstLine="480" w:firstLineChars="200"/>
        <w:rPr>
          <w:rFonts w:ascii="宋体" w:hAnsi="宋体"/>
          <w:color w:val="auto"/>
          <w:sz w:val="24"/>
        </w:rPr>
      </w:pPr>
      <w:r>
        <w:rPr>
          <w:rFonts w:hint="eastAsia" w:ascii="宋体" w:hAnsi="宋体"/>
          <w:color w:val="auto"/>
          <w:sz w:val="24"/>
        </w:rPr>
        <w:t>及时清理排土场边坡的浮石、危石。</w:t>
      </w:r>
    </w:p>
    <w:p>
      <w:pPr>
        <w:spacing w:line="500" w:lineRule="exact"/>
        <w:ind w:firstLine="480" w:firstLineChars="200"/>
        <w:rPr>
          <w:rFonts w:ascii="宋体" w:hAnsi="宋体"/>
          <w:color w:val="auto"/>
          <w:sz w:val="24"/>
        </w:rPr>
      </w:pPr>
      <w:r>
        <w:rPr>
          <w:rFonts w:hint="eastAsia" w:ascii="宋体" w:hAnsi="宋体"/>
          <w:color w:val="auto"/>
          <w:sz w:val="24"/>
        </w:rPr>
        <w:t>5）建议下一步设计对排土场进行稳定性分析。</w:t>
      </w:r>
    </w:p>
    <w:p>
      <w:pPr>
        <w:spacing w:line="500" w:lineRule="exact"/>
        <w:ind w:firstLine="480" w:firstLineChars="200"/>
        <w:rPr>
          <w:rFonts w:ascii="宋体" w:hAnsi="宋体"/>
          <w:color w:val="auto"/>
          <w:sz w:val="24"/>
        </w:rPr>
      </w:pPr>
      <w:r>
        <w:rPr>
          <w:rFonts w:hint="eastAsia" w:ascii="宋体" w:hAnsi="宋体"/>
          <w:color w:val="auto"/>
          <w:sz w:val="24"/>
        </w:rPr>
        <w:t>6）该矿山不属于有色金属矿山，建议排土场排水根据《金属非金属矿山安全规程》的相关要求进行设计。</w:t>
      </w:r>
    </w:p>
    <w:p>
      <w:pPr>
        <w:pStyle w:val="5"/>
        <w:keepLines w:val="0"/>
        <w:widowControl/>
        <w:spacing w:before="120" w:after="120" w:line="500" w:lineRule="exact"/>
        <w:rPr>
          <w:rFonts w:ascii="宋体" w:hAnsi="宋体"/>
          <w:color w:val="auto"/>
          <w:kern w:val="28"/>
          <w:sz w:val="28"/>
          <w:szCs w:val="28"/>
        </w:rPr>
      </w:pPr>
      <w:r>
        <w:rPr>
          <w:rFonts w:hint="eastAsia" w:ascii="宋体" w:hAnsi="宋体"/>
          <w:color w:val="auto"/>
          <w:kern w:val="28"/>
          <w:sz w:val="28"/>
          <w:szCs w:val="28"/>
        </w:rPr>
        <w:t>4.1.7其他单元对策措施</w:t>
      </w:r>
    </w:p>
    <w:p>
      <w:pPr>
        <w:pStyle w:val="6"/>
        <w:keepLines w:val="0"/>
        <w:widowControl/>
        <w:spacing w:before="0" w:after="0" w:line="500" w:lineRule="exact"/>
        <w:rPr>
          <w:rFonts w:ascii="宋体" w:hAnsi="宋体" w:eastAsia="宋体"/>
          <w:color w:val="auto"/>
          <w:kern w:val="28"/>
        </w:rPr>
      </w:pPr>
      <w:r>
        <w:rPr>
          <w:rFonts w:hint="eastAsia" w:ascii="宋体" w:hAnsi="宋体" w:eastAsia="宋体"/>
          <w:color w:val="auto"/>
          <w:kern w:val="28"/>
        </w:rPr>
        <w:t>4.1.7.1职业危害单元对策措施</w:t>
      </w:r>
    </w:p>
    <w:p>
      <w:pPr>
        <w:widowControl/>
        <w:spacing w:line="500" w:lineRule="exact"/>
        <w:ind w:firstLine="480" w:firstLineChars="200"/>
        <w:rPr>
          <w:rFonts w:ascii="宋体" w:hAnsi="宋体"/>
          <w:color w:val="auto"/>
          <w:sz w:val="24"/>
        </w:rPr>
      </w:pPr>
      <w:r>
        <w:rPr>
          <w:rFonts w:ascii="宋体" w:hAnsi="宋体"/>
          <w:color w:val="auto"/>
          <w:sz w:val="24"/>
        </w:rPr>
        <w:t>1</w:t>
      </w:r>
      <w:r>
        <w:rPr>
          <w:rFonts w:hint="eastAsia" w:ascii="宋体" w:hAnsi="宋体"/>
          <w:color w:val="auto"/>
          <w:sz w:val="24"/>
        </w:rPr>
        <w:t>）防粉尘对策</w:t>
      </w:r>
      <w:r>
        <w:rPr>
          <w:rFonts w:ascii="宋体" w:hAnsi="宋体"/>
          <w:color w:val="auto"/>
          <w:sz w:val="24"/>
        </w:rPr>
        <w:t>措施</w:t>
      </w:r>
    </w:p>
    <w:p>
      <w:pPr>
        <w:widowControl/>
        <w:spacing w:line="500" w:lineRule="exact"/>
        <w:ind w:firstLine="480" w:firstLineChars="200"/>
        <w:rPr>
          <w:rFonts w:ascii="宋体" w:hAnsi="宋体"/>
          <w:color w:val="auto"/>
          <w:sz w:val="24"/>
        </w:rPr>
      </w:pPr>
      <w:r>
        <w:rPr>
          <w:rFonts w:hint="eastAsia" w:ascii="宋体" w:hAnsi="宋体"/>
          <w:color w:val="auto"/>
          <w:sz w:val="24"/>
        </w:rPr>
        <w:t>（1）利用洒水车对运输道路定期洒水降尘；铲装作业采取洒水降尘。</w:t>
      </w:r>
    </w:p>
    <w:p>
      <w:pPr>
        <w:widowControl/>
        <w:spacing w:line="500" w:lineRule="exact"/>
        <w:ind w:firstLine="480" w:firstLineChars="200"/>
        <w:rPr>
          <w:rFonts w:ascii="宋体" w:hAnsi="宋体"/>
          <w:color w:val="auto"/>
          <w:sz w:val="24"/>
        </w:rPr>
      </w:pPr>
      <w:r>
        <w:rPr>
          <w:rFonts w:hint="eastAsia" w:ascii="宋体" w:hAnsi="宋体"/>
          <w:color w:val="auto"/>
          <w:sz w:val="24"/>
        </w:rPr>
        <w:t>（2）采取个体防护，按要求配发个体防护用品、从业人员必须正确佩戴个体防护用品。</w:t>
      </w:r>
    </w:p>
    <w:p>
      <w:pPr>
        <w:widowControl/>
        <w:spacing w:line="500" w:lineRule="exact"/>
        <w:ind w:firstLine="480" w:firstLineChars="200"/>
        <w:rPr>
          <w:rFonts w:ascii="宋体" w:hAnsi="宋体"/>
          <w:color w:val="auto"/>
          <w:sz w:val="24"/>
        </w:rPr>
      </w:pPr>
      <w:r>
        <w:rPr>
          <w:rFonts w:hint="eastAsia" w:ascii="宋体" w:hAnsi="宋体"/>
          <w:color w:val="auto"/>
          <w:sz w:val="24"/>
        </w:rPr>
        <w:t>（3）加强现场安全管理及职业病宣传教育。</w:t>
      </w:r>
    </w:p>
    <w:p>
      <w:pPr>
        <w:widowControl/>
        <w:spacing w:line="500" w:lineRule="exact"/>
        <w:ind w:firstLine="480" w:firstLineChars="200"/>
        <w:rPr>
          <w:rFonts w:ascii="宋体" w:hAnsi="宋体"/>
          <w:color w:val="auto"/>
          <w:sz w:val="24"/>
        </w:rPr>
      </w:pPr>
      <w:r>
        <w:rPr>
          <w:rFonts w:hint="eastAsia" w:ascii="宋体" w:hAnsi="宋体"/>
          <w:color w:val="auto"/>
          <w:sz w:val="24"/>
        </w:rPr>
        <w:t>2）防中暑对策措施</w:t>
      </w:r>
    </w:p>
    <w:p>
      <w:pPr>
        <w:widowControl/>
        <w:spacing w:line="500" w:lineRule="exact"/>
        <w:ind w:firstLine="480" w:firstLineChars="200"/>
        <w:rPr>
          <w:rFonts w:ascii="宋体" w:hAnsi="宋体"/>
          <w:color w:val="auto"/>
          <w:sz w:val="24"/>
        </w:rPr>
      </w:pPr>
      <w:r>
        <w:rPr>
          <w:rFonts w:hint="eastAsia" w:ascii="宋体" w:hAnsi="宋体"/>
          <w:color w:val="auto"/>
          <w:sz w:val="24"/>
        </w:rPr>
        <w:t>（1）适当的调整作业时间，尽量避开高温时段作业。</w:t>
      </w:r>
    </w:p>
    <w:p>
      <w:pPr>
        <w:widowControl/>
        <w:spacing w:line="500" w:lineRule="exact"/>
        <w:ind w:firstLine="480" w:firstLineChars="200"/>
        <w:rPr>
          <w:rFonts w:ascii="宋体" w:hAnsi="宋体"/>
          <w:color w:val="auto"/>
          <w:sz w:val="24"/>
        </w:rPr>
      </w:pPr>
      <w:r>
        <w:rPr>
          <w:rFonts w:hint="eastAsia" w:ascii="宋体" w:hAnsi="宋体"/>
          <w:color w:val="auto"/>
          <w:sz w:val="24"/>
        </w:rPr>
        <w:t>（2）为工人供应避暑糖水，配备遮阳帽等用品。</w:t>
      </w:r>
    </w:p>
    <w:p>
      <w:pPr>
        <w:widowControl/>
        <w:spacing w:line="500" w:lineRule="exact"/>
        <w:ind w:firstLine="480" w:firstLineChars="200"/>
        <w:rPr>
          <w:rFonts w:ascii="宋体" w:hAnsi="宋体"/>
          <w:color w:val="auto"/>
          <w:sz w:val="24"/>
        </w:rPr>
      </w:pPr>
      <w:r>
        <w:rPr>
          <w:rFonts w:ascii="宋体" w:hAnsi="宋体"/>
          <w:color w:val="auto"/>
          <w:sz w:val="24"/>
        </w:rPr>
        <w:t>3</w:t>
      </w:r>
      <w:r>
        <w:rPr>
          <w:rFonts w:hint="eastAsia" w:ascii="宋体" w:hAnsi="宋体"/>
          <w:color w:val="auto"/>
          <w:sz w:val="24"/>
        </w:rPr>
        <w:t>）防噪声对策措施</w:t>
      </w:r>
    </w:p>
    <w:p>
      <w:pPr>
        <w:widowControl/>
        <w:spacing w:line="500" w:lineRule="exact"/>
        <w:ind w:firstLine="480" w:firstLineChars="200"/>
        <w:rPr>
          <w:rFonts w:ascii="宋体" w:hAnsi="宋体"/>
          <w:color w:val="auto"/>
          <w:sz w:val="24"/>
        </w:rPr>
      </w:pPr>
      <w:r>
        <w:rPr>
          <w:rFonts w:hint="eastAsia" w:ascii="宋体" w:hAnsi="宋体"/>
          <w:color w:val="auto"/>
          <w:sz w:val="24"/>
        </w:rPr>
        <w:t>（1）设备定时注油、保养。</w:t>
      </w:r>
    </w:p>
    <w:p>
      <w:pPr>
        <w:widowControl/>
        <w:spacing w:line="500" w:lineRule="exact"/>
        <w:ind w:firstLine="480" w:firstLineChars="200"/>
        <w:rPr>
          <w:rFonts w:ascii="宋体" w:hAnsi="宋体"/>
          <w:color w:val="auto"/>
          <w:sz w:val="24"/>
        </w:rPr>
      </w:pPr>
      <w:r>
        <w:rPr>
          <w:rFonts w:hint="eastAsia" w:ascii="宋体" w:hAnsi="宋体"/>
          <w:color w:val="auto"/>
          <w:sz w:val="24"/>
        </w:rPr>
        <w:t>（2）为从业人员配备个体防护用品，并督促其正确使用。</w:t>
      </w:r>
    </w:p>
    <w:p>
      <w:pPr>
        <w:widowControl/>
        <w:spacing w:line="500" w:lineRule="exact"/>
        <w:ind w:firstLine="480" w:firstLineChars="200"/>
        <w:rPr>
          <w:rFonts w:ascii="宋体" w:hAnsi="宋体"/>
          <w:color w:val="auto"/>
          <w:sz w:val="24"/>
        </w:rPr>
      </w:pPr>
      <w:r>
        <w:rPr>
          <w:rFonts w:ascii="宋体" w:hAnsi="宋体"/>
          <w:color w:val="auto"/>
          <w:sz w:val="24"/>
        </w:rPr>
        <w:t>4</w:t>
      </w:r>
      <w:r>
        <w:rPr>
          <w:rFonts w:hint="eastAsia" w:ascii="宋体" w:hAnsi="宋体"/>
          <w:color w:val="auto"/>
          <w:sz w:val="24"/>
        </w:rPr>
        <w:t>）防振动对策措施</w:t>
      </w:r>
    </w:p>
    <w:p>
      <w:pPr>
        <w:widowControl/>
        <w:spacing w:line="500" w:lineRule="exact"/>
        <w:ind w:firstLine="480" w:firstLineChars="200"/>
        <w:rPr>
          <w:rFonts w:ascii="宋体" w:hAnsi="宋体"/>
          <w:color w:val="auto"/>
          <w:sz w:val="24"/>
        </w:rPr>
      </w:pPr>
      <w:r>
        <w:rPr>
          <w:rFonts w:hint="eastAsia" w:ascii="宋体" w:hAnsi="宋体"/>
          <w:color w:val="auto"/>
          <w:sz w:val="24"/>
        </w:rPr>
        <w:t>（1）调整从业人员的作业时限，合理安排时间。</w:t>
      </w:r>
    </w:p>
    <w:p>
      <w:pPr>
        <w:widowControl/>
        <w:spacing w:line="500" w:lineRule="exact"/>
        <w:ind w:firstLine="480" w:firstLineChars="200"/>
        <w:rPr>
          <w:rFonts w:ascii="宋体" w:hAnsi="宋体"/>
          <w:color w:val="auto"/>
          <w:sz w:val="24"/>
        </w:rPr>
      </w:pPr>
      <w:r>
        <w:rPr>
          <w:rFonts w:hint="eastAsia" w:ascii="宋体" w:hAnsi="宋体"/>
          <w:color w:val="auto"/>
          <w:sz w:val="24"/>
        </w:rPr>
        <w:t>（2）在能够采取减振措施的设备上安装合格的减振装置。</w:t>
      </w:r>
    </w:p>
    <w:p>
      <w:pPr>
        <w:widowControl/>
        <w:spacing w:line="500" w:lineRule="exact"/>
        <w:ind w:firstLine="480" w:firstLineChars="200"/>
        <w:rPr>
          <w:rFonts w:ascii="宋体" w:hAnsi="宋体"/>
          <w:color w:val="auto"/>
          <w:sz w:val="24"/>
        </w:rPr>
      </w:pPr>
      <w:r>
        <w:rPr>
          <w:rFonts w:hint="eastAsia" w:ascii="宋体" w:hAnsi="宋体"/>
          <w:color w:val="auto"/>
          <w:sz w:val="24"/>
        </w:rPr>
        <w:t>（3）加强个体防护。</w:t>
      </w:r>
    </w:p>
    <w:p>
      <w:pPr>
        <w:widowControl/>
        <w:spacing w:line="500" w:lineRule="exact"/>
        <w:ind w:firstLine="480" w:firstLineChars="200"/>
        <w:rPr>
          <w:rFonts w:ascii="宋体" w:hAnsi="宋体"/>
          <w:color w:val="auto"/>
          <w:sz w:val="24"/>
        </w:rPr>
      </w:pPr>
      <w:r>
        <w:rPr>
          <w:rFonts w:ascii="宋体" w:hAnsi="宋体"/>
          <w:color w:val="auto"/>
          <w:sz w:val="24"/>
        </w:rPr>
        <w:t>5</w:t>
      </w:r>
      <w:r>
        <w:rPr>
          <w:rFonts w:hint="eastAsia" w:ascii="宋体" w:hAnsi="宋体"/>
          <w:color w:val="auto"/>
          <w:sz w:val="24"/>
        </w:rPr>
        <w:t>）防辐射对策措施</w:t>
      </w:r>
    </w:p>
    <w:p>
      <w:pPr>
        <w:widowControl/>
        <w:spacing w:line="500" w:lineRule="exact"/>
        <w:ind w:firstLine="480" w:firstLineChars="200"/>
        <w:rPr>
          <w:rFonts w:ascii="宋体" w:hAnsi="宋体"/>
          <w:color w:val="auto"/>
          <w:sz w:val="24"/>
        </w:rPr>
      </w:pPr>
      <w:r>
        <w:rPr>
          <w:rFonts w:hint="eastAsia" w:ascii="宋体" w:hAnsi="宋体"/>
          <w:color w:val="auto"/>
          <w:sz w:val="24"/>
        </w:rPr>
        <w:t>（1）矿石定期进行放射性检测。</w:t>
      </w:r>
    </w:p>
    <w:p>
      <w:pPr>
        <w:widowControl/>
        <w:spacing w:line="500" w:lineRule="exact"/>
        <w:ind w:firstLine="480" w:firstLineChars="200"/>
        <w:rPr>
          <w:rFonts w:ascii="宋体" w:hAnsi="宋体"/>
          <w:color w:val="auto"/>
          <w:sz w:val="24"/>
        </w:rPr>
      </w:pPr>
      <w:r>
        <w:rPr>
          <w:rFonts w:hint="eastAsia" w:ascii="宋体" w:hAnsi="宋体"/>
          <w:color w:val="auto"/>
          <w:sz w:val="24"/>
        </w:rPr>
        <w:t>（2）人员定期进行职业健康检查。</w:t>
      </w:r>
    </w:p>
    <w:p>
      <w:pPr>
        <w:widowControl/>
        <w:spacing w:line="500" w:lineRule="exact"/>
        <w:ind w:firstLine="480" w:firstLineChars="200"/>
        <w:rPr>
          <w:rFonts w:ascii="宋体" w:hAnsi="宋体"/>
          <w:color w:val="auto"/>
          <w:sz w:val="24"/>
        </w:rPr>
      </w:pPr>
      <w:r>
        <w:rPr>
          <w:rFonts w:hint="eastAsia" w:ascii="宋体" w:hAnsi="宋体"/>
          <w:color w:val="auto"/>
          <w:sz w:val="24"/>
        </w:rPr>
        <w:t>6）建议下步设计明确洒水车规格型号、数量等内容。</w:t>
      </w:r>
    </w:p>
    <w:p>
      <w:pPr>
        <w:pStyle w:val="6"/>
        <w:keepLines w:val="0"/>
        <w:widowControl/>
        <w:spacing w:before="0" w:after="0" w:line="500" w:lineRule="exact"/>
        <w:rPr>
          <w:rFonts w:ascii="宋体" w:hAnsi="宋体" w:eastAsia="宋体"/>
          <w:color w:val="auto"/>
          <w:kern w:val="28"/>
        </w:rPr>
      </w:pPr>
      <w:r>
        <w:rPr>
          <w:rFonts w:hint="eastAsia" w:ascii="宋体" w:hAnsi="宋体" w:eastAsia="宋体"/>
          <w:color w:val="auto"/>
          <w:kern w:val="28"/>
        </w:rPr>
        <w:t>4.1.7</w:t>
      </w:r>
      <w:r>
        <w:rPr>
          <w:rFonts w:ascii="宋体" w:hAnsi="宋体" w:eastAsia="宋体"/>
          <w:color w:val="auto"/>
          <w:kern w:val="28"/>
        </w:rPr>
        <w:t>.2</w:t>
      </w:r>
      <w:r>
        <w:rPr>
          <w:rFonts w:hint="eastAsia" w:ascii="宋体" w:hAnsi="宋体" w:eastAsia="宋体"/>
          <w:color w:val="auto"/>
          <w:kern w:val="28"/>
        </w:rPr>
        <w:t>办公生活区对策措施</w:t>
      </w:r>
    </w:p>
    <w:p>
      <w:pPr>
        <w:widowControl/>
        <w:spacing w:line="500" w:lineRule="exact"/>
        <w:ind w:firstLine="480" w:firstLineChars="200"/>
        <w:rPr>
          <w:rFonts w:ascii="宋体" w:hAnsi="宋体"/>
          <w:color w:val="auto"/>
          <w:sz w:val="24"/>
        </w:rPr>
      </w:pPr>
      <w:r>
        <w:rPr>
          <w:rFonts w:ascii="宋体" w:hAnsi="宋体"/>
          <w:color w:val="auto"/>
          <w:sz w:val="24"/>
        </w:rPr>
        <w:t>1</w:t>
      </w:r>
      <w:r>
        <w:rPr>
          <w:rFonts w:hint="eastAsia" w:ascii="宋体" w:hAnsi="宋体"/>
          <w:color w:val="auto"/>
          <w:sz w:val="24"/>
        </w:rPr>
        <w:t>）防触电对策措施</w:t>
      </w:r>
    </w:p>
    <w:p>
      <w:pPr>
        <w:widowControl/>
        <w:spacing w:line="500" w:lineRule="exact"/>
        <w:ind w:firstLine="480" w:firstLineChars="200"/>
        <w:rPr>
          <w:rFonts w:ascii="宋体" w:hAnsi="宋体"/>
          <w:color w:val="auto"/>
          <w:sz w:val="24"/>
        </w:rPr>
      </w:pPr>
      <w:r>
        <w:rPr>
          <w:rFonts w:hint="eastAsia" w:ascii="宋体" w:hAnsi="宋体"/>
          <w:color w:val="auto"/>
          <w:sz w:val="24"/>
        </w:rPr>
        <w:t>（1）严格按规定进行带电作业；悬挂警示标志。</w:t>
      </w:r>
    </w:p>
    <w:p>
      <w:pPr>
        <w:widowControl/>
        <w:spacing w:line="500" w:lineRule="exact"/>
        <w:ind w:firstLine="480" w:firstLineChars="200"/>
        <w:rPr>
          <w:rFonts w:ascii="宋体" w:hAnsi="宋体"/>
          <w:color w:val="auto"/>
          <w:sz w:val="24"/>
        </w:rPr>
      </w:pPr>
      <w:r>
        <w:rPr>
          <w:rFonts w:hint="eastAsia" w:ascii="宋体" w:hAnsi="宋体"/>
          <w:color w:val="auto"/>
          <w:sz w:val="24"/>
        </w:rPr>
        <w:t>（2）电气设备、线路应设避雷装置并定期检测。</w:t>
      </w:r>
    </w:p>
    <w:p>
      <w:pPr>
        <w:widowControl/>
        <w:spacing w:line="500" w:lineRule="exact"/>
        <w:ind w:firstLine="480" w:firstLineChars="200"/>
        <w:rPr>
          <w:rFonts w:ascii="宋体" w:hAnsi="宋体"/>
          <w:color w:val="auto"/>
          <w:sz w:val="24"/>
        </w:rPr>
      </w:pPr>
      <w:r>
        <w:rPr>
          <w:rFonts w:hint="eastAsia" w:ascii="宋体" w:hAnsi="宋体"/>
          <w:color w:val="auto"/>
          <w:sz w:val="24"/>
        </w:rPr>
        <w:t>（3）供电线路要与用电设备、设施匹配，按规范接地、安装漏电和裸露部位保护。</w:t>
      </w:r>
    </w:p>
    <w:p>
      <w:pPr>
        <w:widowControl/>
        <w:spacing w:line="500" w:lineRule="exact"/>
        <w:ind w:firstLine="480" w:firstLineChars="200"/>
        <w:rPr>
          <w:rFonts w:ascii="宋体" w:hAnsi="宋体"/>
          <w:color w:val="auto"/>
          <w:sz w:val="24"/>
        </w:rPr>
      </w:pPr>
      <w:r>
        <w:rPr>
          <w:rFonts w:ascii="宋体" w:hAnsi="宋体"/>
          <w:color w:val="auto"/>
          <w:sz w:val="24"/>
        </w:rPr>
        <w:t>2</w:t>
      </w:r>
      <w:r>
        <w:rPr>
          <w:rFonts w:hint="eastAsia" w:ascii="宋体" w:hAnsi="宋体"/>
          <w:color w:val="auto"/>
          <w:sz w:val="24"/>
        </w:rPr>
        <w:t>）防触电对策措施</w:t>
      </w:r>
    </w:p>
    <w:p>
      <w:pPr>
        <w:widowControl/>
        <w:spacing w:line="500" w:lineRule="exact"/>
        <w:ind w:firstLine="480" w:firstLineChars="200"/>
        <w:rPr>
          <w:rFonts w:ascii="宋体" w:hAnsi="宋体"/>
          <w:color w:val="auto"/>
          <w:sz w:val="24"/>
        </w:rPr>
      </w:pPr>
      <w:r>
        <w:rPr>
          <w:rFonts w:hint="eastAsia" w:ascii="宋体" w:hAnsi="宋体"/>
          <w:color w:val="auto"/>
          <w:sz w:val="24"/>
        </w:rPr>
        <w:t>（1）在带电的导线附近，严禁存放易燃易爆物品，附近茅草应清除。</w:t>
      </w:r>
    </w:p>
    <w:p>
      <w:pPr>
        <w:widowControl/>
        <w:spacing w:line="500" w:lineRule="exact"/>
        <w:ind w:firstLine="480" w:firstLineChars="200"/>
        <w:rPr>
          <w:rFonts w:ascii="宋体" w:hAnsi="宋体"/>
          <w:color w:val="auto"/>
          <w:sz w:val="24"/>
        </w:rPr>
      </w:pPr>
      <w:r>
        <w:rPr>
          <w:rFonts w:hint="eastAsia" w:ascii="宋体" w:hAnsi="宋体"/>
          <w:color w:val="auto"/>
          <w:sz w:val="24"/>
        </w:rPr>
        <w:t>（2）电气线路布置有序，及时更换绝缘老化线路。</w:t>
      </w:r>
    </w:p>
    <w:p>
      <w:pPr>
        <w:widowControl/>
        <w:spacing w:line="500" w:lineRule="exact"/>
        <w:ind w:firstLine="480" w:firstLineChars="200"/>
        <w:rPr>
          <w:rFonts w:ascii="宋体" w:hAnsi="宋体"/>
          <w:color w:val="auto"/>
          <w:sz w:val="24"/>
        </w:rPr>
      </w:pPr>
      <w:r>
        <w:rPr>
          <w:rFonts w:hint="eastAsia" w:ascii="宋体" w:hAnsi="宋体"/>
          <w:color w:val="auto"/>
          <w:sz w:val="24"/>
        </w:rPr>
        <w:t>（3）定期对用电设备进行检修，长时运转时应检查外壳温度。配备过流保护装置。</w:t>
      </w:r>
    </w:p>
    <w:p>
      <w:pPr>
        <w:widowControl/>
        <w:spacing w:line="500" w:lineRule="exact"/>
        <w:ind w:firstLine="480" w:firstLineChars="200"/>
        <w:rPr>
          <w:rFonts w:ascii="宋体" w:hAnsi="宋体"/>
          <w:color w:val="auto"/>
          <w:sz w:val="24"/>
        </w:rPr>
      </w:pPr>
      <w:r>
        <w:rPr>
          <w:rFonts w:hint="eastAsia" w:ascii="宋体" w:hAnsi="宋体"/>
          <w:color w:val="auto"/>
          <w:sz w:val="24"/>
        </w:rPr>
        <w:t>（4）用电设备周边严禁存放易燃易爆物品。</w:t>
      </w:r>
    </w:p>
    <w:p>
      <w:pPr>
        <w:widowControl/>
        <w:spacing w:line="500" w:lineRule="exact"/>
        <w:ind w:firstLine="480" w:firstLineChars="200"/>
        <w:rPr>
          <w:rFonts w:ascii="宋体" w:hAnsi="宋体"/>
          <w:color w:val="auto"/>
          <w:sz w:val="24"/>
        </w:rPr>
      </w:pPr>
      <w:r>
        <w:rPr>
          <w:rFonts w:hint="eastAsia" w:ascii="宋体" w:hAnsi="宋体"/>
          <w:color w:val="auto"/>
          <w:sz w:val="24"/>
        </w:rPr>
        <w:t>3）柴油属于危险化学品，企业应按《危险化学品安全管理条例》的相关要求，对柴油进行管理。</w:t>
      </w:r>
    </w:p>
    <w:p>
      <w:pPr>
        <w:pStyle w:val="4"/>
        <w:keepLines w:val="0"/>
        <w:widowControl/>
        <w:spacing w:before="120" w:after="120" w:line="500" w:lineRule="exact"/>
        <w:rPr>
          <w:rFonts w:ascii="宋体" w:hAnsi="宋体" w:eastAsia="宋体"/>
          <w:b/>
          <w:bCs w:val="0"/>
          <w:color w:val="auto"/>
          <w:kern w:val="28"/>
          <w:sz w:val="28"/>
          <w:szCs w:val="28"/>
        </w:rPr>
      </w:pPr>
      <w:bookmarkStart w:id="256" w:name="_Toc198106939"/>
      <w:bookmarkStart w:id="257" w:name="_Toc241824342"/>
      <w:bookmarkStart w:id="258" w:name="_Toc229928359"/>
      <w:bookmarkStart w:id="259" w:name="_Toc158168039"/>
      <w:bookmarkStart w:id="260" w:name="_Toc150262788"/>
      <w:bookmarkStart w:id="261" w:name="_Toc166918986"/>
      <w:bookmarkStart w:id="262" w:name="_Toc166919197"/>
      <w:bookmarkStart w:id="263" w:name="_Toc168484335"/>
      <w:bookmarkStart w:id="264" w:name="_Toc240347041"/>
      <w:bookmarkStart w:id="265" w:name="_Toc158167926"/>
      <w:r>
        <w:rPr>
          <w:rFonts w:ascii="宋体" w:hAnsi="宋体" w:eastAsia="宋体"/>
          <w:b/>
          <w:bCs w:val="0"/>
          <w:color w:val="auto"/>
          <w:kern w:val="28"/>
          <w:sz w:val="28"/>
          <w:szCs w:val="28"/>
        </w:rPr>
        <w:t>4.</w:t>
      </w:r>
      <w:r>
        <w:rPr>
          <w:rFonts w:hint="eastAsia" w:ascii="宋体" w:hAnsi="宋体" w:eastAsia="宋体"/>
          <w:b/>
          <w:bCs w:val="0"/>
          <w:color w:val="auto"/>
          <w:kern w:val="28"/>
          <w:sz w:val="28"/>
          <w:szCs w:val="28"/>
        </w:rPr>
        <w:t>2</w:t>
      </w:r>
      <w:r>
        <w:rPr>
          <w:rFonts w:ascii="宋体" w:hAnsi="宋体" w:eastAsia="宋体"/>
          <w:b/>
          <w:bCs w:val="0"/>
          <w:color w:val="auto"/>
          <w:kern w:val="28"/>
          <w:sz w:val="28"/>
          <w:szCs w:val="28"/>
        </w:rPr>
        <w:t>安全管理措施</w:t>
      </w:r>
      <w:bookmarkEnd w:id="256"/>
      <w:bookmarkEnd w:id="257"/>
      <w:bookmarkEnd w:id="258"/>
      <w:bookmarkEnd w:id="259"/>
      <w:bookmarkEnd w:id="260"/>
      <w:bookmarkEnd w:id="261"/>
      <w:bookmarkEnd w:id="262"/>
      <w:bookmarkEnd w:id="263"/>
      <w:bookmarkEnd w:id="264"/>
      <w:bookmarkEnd w:id="265"/>
    </w:p>
    <w:p>
      <w:pPr>
        <w:pStyle w:val="5"/>
        <w:keepLines w:val="0"/>
        <w:widowControl/>
        <w:spacing w:before="120" w:after="120" w:line="500" w:lineRule="exact"/>
        <w:rPr>
          <w:rFonts w:ascii="宋体" w:hAnsi="宋体"/>
          <w:color w:val="auto"/>
          <w:kern w:val="28"/>
          <w:sz w:val="28"/>
          <w:szCs w:val="28"/>
        </w:rPr>
      </w:pPr>
      <w:bookmarkStart w:id="266" w:name="_Toc193792647"/>
      <w:bookmarkStart w:id="267" w:name="_Toc190416582"/>
      <w:bookmarkStart w:id="268" w:name="_Toc190431896"/>
      <w:bookmarkStart w:id="269" w:name="_Toc194551718"/>
      <w:bookmarkStart w:id="270" w:name="_Toc193789447"/>
      <w:bookmarkStart w:id="271" w:name="_Toc234376087"/>
      <w:bookmarkStart w:id="272" w:name="_Toc193792538"/>
      <w:bookmarkStart w:id="273" w:name="_Toc194481426"/>
      <w:bookmarkStart w:id="274" w:name="_Toc193101207"/>
      <w:bookmarkStart w:id="275" w:name="_Toc209858965"/>
      <w:r>
        <w:rPr>
          <w:rFonts w:hint="eastAsia" w:ascii="宋体" w:hAnsi="宋体"/>
          <w:color w:val="auto"/>
          <w:kern w:val="28"/>
          <w:sz w:val="28"/>
          <w:szCs w:val="28"/>
        </w:rPr>
        <w:t>4.2.1安全管理基本要求</w:t>
      </w:r>
    </w:p>
    <w:p>
      <w:pPr>
        <w:widowControl/>
        <w:spacing w:line="500" w:lineRule="exact"/>
        <w:ind w:firstLine="480" w:firstLineChars="200"/>
        <w:rPr>
          <w:rFonts w:ascii="宋体" w:hAnsi="宋体"/>
          <w:color w:val="auto"/>
          <w:sz w:val="24"/>
        </w:rPr>
      </w:pPr>
      <w:r>
        <w:rPr>
          <w:rFonts w:hint="eastAsia" w:ascii="宋体" w:hAnsi="宋体"/>
          <w:color w:val="auto"/>
          <w:sz w:val="24"/>
        </w:rPr>
        <w:t>1）与有资质的矿山救护队签订协议，以防发生事故做到有组织的救援，减少事故的损失。</w:t>
      </w:r>
    </w:p>
    <w:p>
      <w:pPr>
        <w:widowControl/>
        <w:spacing w:line="500" w:lineRule="exact"/>
        <w:ind w:firstLine="480" w:firstLineChars="200"/>
        <w:rPr>
          <w:rFonts w:ascii="宋体" w:hAnsi="宋体"/>
          <w:color w:val="auto"/>
          <w:sz w:val="24"/>
        </w:rPr>
      </w:pPr>
      <w:r>
        <w:rPr>
          <w:rFonts w:hint="eastAsia" w:ascii="宋体" w:hAnsi="宋体"/>
          <w:color w:val="auto"/>
          <w:sz w:val="24"/>
        </w:rPr>
        <w:t>2）根据法律、法规的要求，安全设施应与主体工程同时设计，同时施工，同时投入使用。安全设施按设计与主体工程同时施工时，应有资质的施工单位进行施工，防止工程质量事故。</w:t>
      </w:r>
    </w:p>
    <w:p>
      <w:pPr>
        <w:widowControl/>
        <w:spacing w:line="500" w:lineRule="exact"/>
        <w:ind w:firstLine="480" w:firstLineChars="200"/>
        <w:rPr>
          <w:rFonts w:ascii="宋体" w:hAnsi="宋体"/>
          <w:color w:val="auto"/>
          <w:sz w:val="24"/>
        </w:rPr>
      </w:pPr>
      <w:r>
        <w:rPr>
          <w:rFonts w:hint="eastAsia" w:ascii="宋体" w:hAnsi="宋体"/>
          <w:color w:val="auto"/>
          <w:sz w:val="24"/>
        </w:rPr>
        <w:t>3）应为全体员工购买工伤保险以及安全生产责任险。</w:t>
      </w:r>
    </w:p>
    <w:p>
      <w:pPr>
        <w:pStyle w:val="5"/>
        <w:keepLines w:val="0"/>
        <w:widowControl/>
        <w:spacing w:before="120" w:after="120" w:line="500" w:lineRule="exact"/>
        <w:rPr>
          <w:rFonts w:ascii="宋体" w:hAnsi="宋体"/>
          <w:color w:val="auto"/>
          <w:kern w:val="28"/>
          <w:sz w:val="28"/>
          <w:szCs w:val="28"/>
        </w:rPr>
      </w:pPr>
      <w:bookmarkStart w:id="276" w:name="_Toc193101201"/>
      <w:bookmarkStart w:id="277" w:name="_Toc190431890"/>
      <w:bookmarkStart w:id="278" w:name="_Toc193792640"/>
      <w:bookmarkStart w:id="279" w:name="_Toc193792531"/>
      <w:bookmarkStart w:id="280" w:name="_Toc193789441"/>
      <w:bookmarkStart w:id="281" w:name="_Toc194481419"/>
      <w:bookmarkStart w:id="282" w:name="_Toc194551711"/>
      <w:bookmarkStart w:id="283" w:name="_Toc190416576"/>
      <w:bookmarkStart w:id="284" w:name="_Toc209858958"/>
      <w:r>
        <w:rPr>
          <w:rFonts w:hint="eastAsia" w:ascii="宋体" w:hAnsi="宋体"/>
          <w:color w:val="auto"/>
          <w:kern w:val="28"/>
          <w:sz w:val="28"/>
          <w:szCs w:val="28"/>
        </w:rPr>
        <w:t>4.2.2安全机构、人员及设备配置</w:t>
      </w:r>
      <w:bookmarkEnd w:id="276"/>
      <w:bookmarkEnd w:id="277"/>
      <w:bookmarkEnd w:id="278"/>
      <w:bookmarkEnd w:id="279"/>
      <w:bookmarkEnd w:id="280"/>
      <w:bookmarkEnd w:id="281"/>
      <w:bookmarkEnd w:id="282"/>
      <w:bookmarkEnd w:id="283"/>
      <w:bookmarkEnd w:id="284"/>
    </w:p>
    <w:p>
      <w:pPr>
        <w:widowControl/>
        <w:spacing w:line="500" w:lineRule="exact"/>
        <w:ind w:firstLine="480" w:firstLineChars="200"/>
        <w:rPr>
          <w:rFonts w:ascii="宋体" w:hAnsi="宋体"/>
          <w:color w:val="auto"/>
          <w:sz w:val="24"/>
        </w:rPr>
      </w:pPr>
      <w:r>
        <w:rPr>
          <w:rFonts w:hint="eastAsia" w:ascii="宋体" w:hAnsi="宋体"/>
          <w:color w:val="auto"/>
          <w:sz w:val="24"/>
        </w:rPr>
        <w:t>1）建立健全安全生产管理机构和人员配置，保证各类安全生产管理制度能认真贯彻执行，设置专职安全生产管理人员。</w:t>
      </w:r>
    </w:p>
    <w:p>
      <w:pPr>
        <w:widowControl/>
        <w:spacing w:line="500" w:lineRule="exact"/>
        <w:ind w:firstLine="480" w:firstLineChars="200"/>
        <w:rPr>
          <w:rFonts w:ascii="宋体" w:hAnsi="宋体"/>
          <w:color w:val="auto"/>
          <w:sz w:val="24"/>
        </w:rPr>
      </w:pPr>
      <w:r>
        <w:rPr>
          <w:rFonts w:hint="eastAsia" w:ascii="宋体" w:hAnsi="宋体"/>
          <w:color w:val="auto"/>
          <w:sz w:val="24"/>
        </w:rPr>
        <w:t>2）明确各级第一责任人为安全生产第一责任人。</w:t>
      </w:r>
    </w:p>
    <w:p>
      <w:pPr>
        <w:widowControl/>
        <w:spacing w:line="500" w:lineRule="exact"/>
        <w:ind w:firstLine="480" w:firstLineChars="200"/>
        <w:rPr>
          <w:rFonts w:ascii="宋体" w:hAnsi="宋体"/>
          <w:color w:val="auto"/>
          <w:sz w:val="24"/>
        </w:rPr>
      </w:pPr>
      <w:r>
        <w:rPr>
          <w:rFonts w:hint="eastAsia" w:ascii="宋体" w:hAnsi="宋体"/>
          <w:color w:val="auto"/>
          <w:sz w:val="24"/>
        </w:rPr>
        <w:t>3）配备安全卫生管理、检查、事故调查分析、检测检验的用品和检查、检测、通信、车辆等设施、设备。配备安全卫生培训、教育设备和场所。</w:t>
      </w:r>
    </w:p>
    <w:p>
      <w:pPr>
        <w:widowControl/>
        <w:spacing w:line="500" w:lineRule="exact"/>
        <w:ind w:firstLine="480" w:firstLineChars="200"/>
        <w:rPr>
          <w:rFonts w:ascii="宋体" w:hAnsi="宋体"/>
          <w:color w:val="auto"/>
          <w:sz w:val="24"/>
        </w:rPr>
      </w:pPr>
      <w:r>
        <w:rPr>
          <w:rFonts w:hint="eastAsia" w:ascii="宋体" w:hAnsi="宋体"/>
          <w:color w:val="auto"/>
          <w:sz w:val="24"/>
        </w:rPr>
        <w:t>4）加强企业生产技术管理。矿山应设立技术总负责人，并明确技术总负责人在企业主要负责人的领导下，对矿山生产技术工作负总责。与此同时，要设立生产技术管理机构，配备采矿、机电、地质及测量等专业技术人员。没有条件配备专业技术人员的矿山，必须聘请专业技术人员或委托评价、咨询、技术服务等中介机构提供技术服务。</w:t>
      </w:r>
    </w:p>
    <w:p>
      <w:pPr>
        <w:widowControl/>
        <w:spacing w:line="500" w:lineRule="exact"/>
        <w:ind w:firstLine="480" w:firstLineChars="200"/>
        <w:rPr>
          <w:rFonts w:ascii="宋体" w:hAnsi="宋体"/>
          <w:color w:val="auto"/>
          <w:sz w:val="24"/>
        </w:rPr>
      </w:pPr>
      <w:r>
        <w:rPr>
          <w:rFonts w:hint="eastAsia" w:ascii="宋体" w:hAnsi="宋体"/>
          <w:color w:val="auto"/>
          <w:sz w:val="24"/>
        </w:rPr>
        <w:t>5）配备注册安全工程师。</w:t>
      </w:r>
    </w:p>
    <w:p>
      <w:pPr>
        <w:pStyle w:val="5"/>
        <w:keepLines w:val="0"/>
        <w:widowControl/>
        <w:spacing w:before="120" w:after="120" w:line="500" w:lineRule="exact"/>
        <w:rPr>
          <w:rFonts w:ascii="宋体" w:hAnsi="宋体"/>
          <w:color w:val="auto"/>
          <w:kern w:val="28"/>
          <w:sz w:val="28"/>
          <w:szCs w:val="28"/>
        </w:rPr>
      </w:pPr>
      <w:bookmarkStart w:id="285" w:name="_Toc190416577"/>
      <w:bookmarkStart w:id="286" w:name="_Toc193792532"/>
      <w:bookmarkStart w:id="287" w:name="_Toc190431891"/>
      <w:bookmarkStart w:id="288" w:name="_Toc194481420"/>
      <w:bookmarkStart w:id="289" w:name="_Toc194551712"/>
      <w:bookmarkStart w:id="290" w:name="_Toc193789442"/>
      <w:bookmarkStart w:id="291" w:name="_Toc193792641"/>
      <w:bookmarkStart w:id="292" w:name="_Toc209858959"/>
      <w:bookmarkStart w:id="293" w:name="_Toc193101202"/>
      <w:r>
        <w:rPr>
          <w:rFonts w:hint="eastAsia" w:ascii="宋体" w:hAnsi="宋体"/>
          <w:color w:val="auto"/>
          <w:kern w:val="28"/>
          <w:sz w:val="28"/>
          <w:szCs w:val="28"/>
        </w:rPr>
        <w:t>4.2.3建立完善的规章制度</w:t>
      </w:r>
      <w:bookmarkEnd w:id="285"/>
      <w:bookmarkEnd w:id="286"/>
      <w:bookmarkEnd w:id="287"/>
      <w:bookmarkEnd w:id="288"/>
      <w:bookmarkEnd w:id="289"/>
      <w:bookmarkEnd w:id="290"/>
      <w:bookmarkEnd w:id="291"/>
      <w:bookmarkEnd w:id="292"/>
      <w:bookmarkEnd w:id="293"/>
    </w:p>
    <w:p>
      <w:pPr>
        <w:widowControl/>
        <w:spacing w:line="500" w:lineRule="exact"/>
        <w:ind w:firstLine="480" w:firstLineChars="200"/>
        <w:rPr>
          <w:rFonts w:ascii="宋体" w:hAnsi="宋体"/>
          <w:color w:val="auto"/>
          <w:sz w:val="24"/>
        </w:rPr>
      </w:pPr>
      <w:r>
        <w:rPr>
          <w:rFonts w:hint="eastAsia" w:ascii="宋体" w:hAnsi="宋体"/>
          <w:color w:val="auto"/>
          <w:sz w:val="24"/>
        </w:rPr>
        <w:t>应建立如下管理制度：</w:t>
      </w:r>
    </w:p>
    <w:p>
      <w:pPr>
        <w:widowControl/>
        <w:spacing w:line="500" w:lineRule="exact"/>
        <w:ind w:firstLine="480" w:firstLineChars="200"/>
        <w:rPr>
          <w:rFonts w:ascii="宋体" w:hAnsi="宋体"/>
          <w:color w:val="auto"/>
          <w:sz w:val="24"/>
        </w:rPr>
      </w:pPr>
      <w:r>
        <w:rPr>
          <w:rFonts w:ascii="宋体" w:hAnsi="宋体"/>
          <w:color w:val="auto"/>
          <w:sz w:val="24"/>
        </w:rPr>
        <w:t>1）安全生产责任制度；2）安全目标管理制度；3）安全例会制度；4）安全检查制度；5）安全教育培训制度；</w:t>
      </w:r>
      <w:r>
        <w:rPr>
          <w:rFonts w:hint="eastAsia" w:ascii="宋体" w:hAnsi="宋体"/>
          <w:color w:val="auto"/>
          <w:sz w:val="24"/>
        </w:rPr>
        <w:t>6）生产技术管理制度；7）机电设备管理制度；8）劳动管理制度；9）安全费用提取与使用制度；10）重大危险源监控制度；11）安全生产隐患排查治理制度；12）安全技术措施审批制度；13）劳动防护用品管理制度；14）职业危害预防制度；15）生产安全事故报告16）安全生产奖惩17）安全生产档案管理制度。</w:t>
      </w:r>
    </w:p>
    <w:p>
      <w:pPr>
        <w:pStyle w:val="5"/>
        <w:keepLines w:val="0"/>
        <w:widowControl/>
        <w:spacing w:before="120" w:after="120" w:line="500" w:lineRule="exact"/>
        <w:rPr>
          <w:rFonts w:ascii="宋体" w:hAnsi="宋体"/>
          <w:color w:val="auto"/>
          <w:kern w:val="28"/>
          <w:sz w:val="28"/>
          <w:szCs w:val="28"/>
        </w:rPr>
      </w:pPr>
      <w:bookmarkStart w:id="294" w:name="_Toc193792533"/>
      <w:bookmarkStart w:id="295" w:name="_Toc193792642"/>
      <w:bookmarkStart w:id="296" w:name="_Toc190431892"/>
      <w:bookmarkStart w:id="297" w:name="_Toc194481421"/>
      <w:bookmarkStart w:id="298" w:name="_Toc193789443"/>
      <w:bookmarkStart w:id="299" w:name="_Toc209858960"/>
      <w:bookmarkStart w:id="300" w:name="_Toc193101203"/>
      <w:bookmarkStart w:id="301" w:name="_Toc190416578"/>
      <w:bookmarkStart w:id="302" w:name="_Toc194551713"/>
      <w:r>
        <w:rPr>
          <w:rFonts w:hint="eastAsia" w:ascii="宋体" w:hAnsi="宋体"/>
          <w:color w:val="auto"/>
          <w:kern w:val="28"/>
          <w:sz w:val="28"/>
          <w:szCs w:val="28"/>
        </w:rPr>
        <w:t>4.2.4安全培训、教育、考核</w:t>
      </w:r>
      <w:bookmarkEnd w:id="294"/>
      <w:bookmarkEnd w:id="295"/>
      <w:bookmarkEnd w:id="296"/>
      <w:bookmarkEnd w:id="297"/>
      <w:bookmarkEnd w:id="298"/>
      <w:bookmarkEnd w:id="299"/>
      <w:bookmarkEnd w:id="300"/>
      <w:bookmarkEnd w:id="301"/>
      <w:bookmarkEnd w:id="302"/>
    </w:p>
    <w:p>
      <w:pPr>
        <w:widowControl/>
        <w:spacing w:line="500" w:lineRule="exact"/>
        <w:ind w:firstLine="480" w:firstLineChars="200"/>
        <w:rPr>
          <w:rFonts w:ascii="宋体" w:hAnsi="宋体"/>
          <w:color w:val="auto"/>
          <w:sz w:val="24"/>
        </w:rPr>
      </w:pPr>
      <w:r>
        <w:rPr>
          <w:rFonts w:hint="eastAsia" w:ascii="宋体" w:hAnsi="宋体"/>
          <w:color w:val="auto"/>
          <w:sz w:val="24"/>
        </w:rPr>
        <w:t>1）主要负责人、安全生产管理人员必须进行安全资格培训，经有资质的公司或法律法规规定的有关主管部门考核合格并取得合格证后方可任职。</w:t>
      </w:r>
    </w:p>
    <w:p>
      <w:pPr>
        <w:widowControl/>
        <w:spacing w:line="500" w:lineRule="exact"/>
        <w:ind w:firstLine="480" w:firstLineChars="200"/>
        <w:rPr>
          <w:rFonts w:ascii="宋体" w:hAnsi="宋体"/>
          <w:color w:val="auto"/>
          <w:sz w:val="24"/>
        </w:rPr>
      </w:pPr>
      <w:r>
        <w:rPr>
          <w:rFonts w:hint="eastAsia" w:ascii="宋体" w:hAnsi="宋体"/>
          <w:color w:val="auto"/>
          <w:sz w:val="24"/>
        </w:rPr>
        <w:t>2）主要负责人、安全生产管理人员每年应进行安全再培训。</w:t>
      </w:r>
    </w:p>
    <w:p>
      <w:pPr>
        <w:widowControl/>
        <w:spacing w:line="500" w:lineRule="exact"/>
        <w:ind w:firstLine="480" w:firstLineChars="200"/>
        <w:rPr>
          <w:rFonts w:ascii="宋体" w:hAnsi="宋体"/>
          <w:color w:val="auto"/>
          <w:sz w:val="24"/>
        </w:rPr>
      </w:pPr>
      <w:r>
        <w:rPr>
          <w:rFonts w:hint="eastAsia" w:ascii="宋体" w:hAnsi="宋体"/>
          <w:color w:val="auto"/>
          <w:sz w:val="24"/>
        </w:rPr>
        <w:t>3）特种作业人员上岗前，必须进行专门的安全技术和操作技能的培训和考核，并经培训考核合格，取得《特种作业人员操作证》后方可上岗。</w:t>
      </w:r>
    </w:p>
    <w:p>
      <w:pPr>
        <w:widowControl/>
        <w:spacing w:line="500" w:lineRule="exact"/>
        <w:ind w:firstLine="480" w:firstLineChars="200"/>
        <w:rPr>
          <w:rFonts w:ascii="宋体" w:hAnsi="宋体"/>
          <w:color w:val="auto"/>
          <w:sz w:val="24"/>
        </w:rPr>
      </w:pPr>
      <w:r>
        <w:rPr>
          <w:rFonts w:hint="eastAsia" w:ascii="宋体" w:hAnsi="宋体"/>
          <w:color w:val="auto"/>
          <w:sz w:val="24"/>
        </w:rPr>
        <w:t>4）取得特种作业人员操作证者，按规定定期进行年审。</w:t>
      </w:r>
    </w:p>
    <w:p>
      <w:pPr>
        <w:widowControl/>
        <w:spacing w:line="500" w:lineRule="exact"/>
        <w:ind w:firstLine="480" w:firstLineChars="200"/>
        <w:rPr>
          <w:rFonts w:ascii="宋体" w:hAnsi="宋体"/>
          <w:color w:val="auto"/>
          <w:sz w:val="24"/>
        </w:rPr>
      </w:pPr>
      <w:r>
        <w:rPr>
          <w:rFonts w:hint="eastAsia" w:ascii="宋体" w:hAnsi="宋体"/>
          <w:color w:val="auto"/>
          <w:sz w:val="24"/>
        </w:rPr>
        <w:t>5）新进露天矿从业人员上岗安全培训时间不得少于</w:t>
      </w:r>
      <w:r>
        <w:rPr>
          <w:rFonts w:ascii="宋体" w:hAnsi="宋体"/>
          <w:color w:val="auto"/>
          <w:sz w:val="24"/>
        </w:rPr>
        <w:t>72</w:t>
      </w:r>
      <w:r>
        <w:rPr>
          <w:rFonts w:hint="eastAsia" w:ascii="宋体" w:hAnsi="宋体"/>
          <w:color w:val="auto"/>
          <w:sz w:val="24"/>
        </w:rPr>
        <w:t>学时，每年接受再培训时间不少于20学时。</w:t>
      </w:r>
    </w:p>
    <w:p>
      <w:pPr>
        <w:widowControl/>
        <w:spacing w:line="500" w:lineRule="exact"/>
        <w:ind w:firstLine="480" w:firstLineChars="200"/>
        <w:rPr>
          <w:rFonts w:ascii="宋体" w:hAnsi="宋体"/>
          <w:color w:val="auto"/>
          <w:sz w:val="24"/>
        </w:rPr>
      </w:pPr>
      <w:r>
        <w:rPr>
          <w:rFonts w:hint="eastAsia" w:ascii="宋体" w:hAnsi="宋体"/>
          <w:color w:val="auto"/>
          <w:sz w:val="24"/>
        </w:rPr>
        <w:t>6）调整工作岗位或离岗一年以上重新上岗时，应进行相应的车间级安全生产教育培训。</w:t>
      </w:r>
    </w:p>
    <w:p>
      <w:pPr>
        <w:widowControl/>
        <w:spacing w:line="500" w:lineRule="exact"/>
        <w:ind w:firstLine="480" w:firstLineChars="200"/>
        <w:rPr>
          <w:rFonts w:ascii="宋体" w:hAnsi="宋体"/>
          <w:color w:val="auto"/>
          <w:sz w:val="24"/>
        </w:rPr>
      </w:pPr>
      <w:r>
        <w:rPr>
          <w:rFonts w:hint="eastAsia" w:ascii="宋体" w:hAnsi="宋体"/>
          <w:color w:val="auto"/>
          <w:sz w:val="24"/>
        </w:rPr>
        <w:t>7）矿山实施新工艺、新技术或使用新设备、新材料时，应对从业人员进行针对性的安全生产教育培训。</w:t>
      </w:r>
    </w:p>
    <w:p>
      <w:pPr>
        <w:widowControl/>
        <w:spacing w:line="500" w:lineRule="exact"/>
        <w:ind w:firstLine="480" w:firstLineChars="200"/>
        <w:rPr>
          <w:rFonts w:ascii="宋体" w:hAnsi="宋体"/>
          <w:color w:val="auto"/>
          <w:sz w:val="24"/>
        </w:rPr>
      </w:pPr>
      <w:r>
        <w:rPr>
          <w:rFonts w:hint="eastAsia" w:ascii="宋体" w:hAnsi="宋体"/>
          <w:color w:val="auto"/>
          <w:sz w:val="24"/>
        </w:rPr>
        <w:t>8）每年要编制全矿职工培训教育计划。</w:t>
      </w:r>
    </w:p>
    <w:p>
      <w:pPr>
        <w:pStyle w:val="5"/>
        <w:keepLines w:val="0"/>
        <w:widowControl/>
        <w:spacing w:before="120" w:after="120" w:line="500" w:lineRule="exact"/>
        <w:rPr>
          <w:rFonts w:ascii="宋体" w:hAnsi="宋体"/>
          <w:color w:val="auto"/>
          <w:kern w:val="28"/>
          <w:sz w:val="28"/>
          <w:szCs w:val="28"/>
        </w:rPr>
      </w:pPr>
      <w:bookmarkStart w:id="303" w:name="_Toc190416579"/>
      <w:bookmarkStart w:id="304" w:name="_Toc193789444"/>
      <w:bookmarkStart w:id="305" w:name="_Toc194481422"/>
      <w:bookmarkStart w:id="306" w:name="_Toc209858961"/>
      <w:bookmarkStart w:id="307" w:name="_Toc194551714"/>
      <w:bookmarkStart w:id="308" w:name="_Toc193101204"/>
      <w:bookmarkStart w:id="309" w:name="_Toc190431893"/>
      <w:bookmarkStart w:id="310" w:name="_Toc193792643"/>
      <w:bookmarkStart w:id="311" w:name="_Toc193792534"/>
      <w:r>
        <w:rPr>
          <w:rFonts w:hint="eastAsia" w:ascii="宋体" w:hAnsi="宋体"/>
          <w:color w:val="auto"/>
          <w:kern w:val="28"/>
          <w:sz w:val="28"/>
          <w:szCs w:val="28"/>
        </w:rPr>
        <w:t>4.2.5安全投入与安全设施</w:t>
      </w:r>
      <w:bookmarkEnd w:id="303"/>
      <w:bookmarkEnd w:id="304"/>
      <w:bookmarkEnd w:id="305"/>
      <w:bookmarkEnd w:id="306"/>
      <w:bookmarkEnd w:id="307"/>
      <w:bookmarkEnd w:id="308"/>
      <w:bookmarkEnd w:id="309"/>
      <w:bookmarkEnd w:id="310"/>
      <w:bookmarkEnd w:id="311"/>
    </w:p>
    <w:p>
      <w:pPr>
        <w:widowControl/>
        <w:spacing w:line="500" w:lineRule="exact"/>
        <w:ind w:firstLine="480" w:firstLineChars="200"/>
        <w:rPr>
          <w:rFonts w:ascii="宋体" w:hAnsi="宋体"/>
          <w:color w:val="auto"/>
          <w:sz w:val="24"/>
        </w:rPr>
      </w:pPr>
      <w:r>
        <w:rPr>
          <w:rFonts w:ascii="宋体" w:hAnsi="宋体"/>
          <w:color w:val="auto"/>
          <w:sz w:val="24"/>
        </w:rPr>
        <w:t>依照</w:t>
      </w:r>
      <w:r>
        <w:rPr>
          <w:rFonts w:hint="eastAsia" w:ascii="宋体" w:hAnsi="宋体"/>
          <w:color w:val="auto"/>
          <w:sz w:val="24"/>
        </w:rPr>
        <w:t>《财政部 安全监管总局关于印发&lt;企业安全生产费用提取和使用管理办法&gt;的通知》</w:t>
      </w:r>
      <w:r>
        <w:rPr>
          <w:rFonts w:ascii="宋体" w:hAnsi="宋体"/>
          <w:color w:val="auto"/>
          <w:sz w:val="24"/>
        </w:rPr>
        <w:t>有关规定足额提取安全生产费用</w:t>
      </w:r>
      <w:r>
        <w:rPr>
          <w:rFonts w:hint="eastAsia" w:ascii="宋体" w:hAnsi="宋体"/>
          <w:color w:val="auto"/>
          <w:sz w:val="24"/>
        </w:rPr>
        <w:t>。本项目属于</w:t>
      </w:r>
      <w:r>
        <w:rPr>
          <w:rFonts w:ascii="宋体" w:hAnsi="宋体"/>
          <w:color w:val="auto"/>
          <w:sz w:val="24"/>
        </w:rPr>
        <w:t>非金属</w:t>
      </w:r>
      <w:r>
        <w:rPr>
          <w:rFonts w:hint="eastAsia" w:ascii="宋体" w:hAnsi="宋体"/>
          <w:color w:val="auto"/>
          <w:sz w:val="24"/>
        </w:rPr>
        <w:t>露天</w:t>
      </w:r>
      <w:r>
        <w:rPr>
          <w:rFonts w:ascii="宋体" w:hAnsi="宋体"/>
          <w:color w:val="auto"/>
          <w:sz w:val="24"/>
        </w:rPr>
        <w:t>矿山，</w:t>
      </w:r>
      <w:r>
        <w:rPr>
          <w:rFonts w:hint="eastAsia" w:ascii="宋体" w:hAnsi="宋体"/>
          <w:color w:val="auto"/>
          <w:sz w:val="24"/>
        </w:rPr>
        <w:t>按</w:t>
      </w:r>
      <w:r>
        <w:rPr>
          <w:rFonts w:ascii="宋体" w:hAnsi="宋体"/>
          <w:color w:val="auto"/>
          <w:sz w:val="24"/>
        </w:rPr>
        <w:t>每吨3元</w:t>
      </w:r>
      <w:r>
        <w:rPr>
          <w:rFonts w:hint="eastAsia" w:ascii="宋体" w:hAnsi="宋体"/>
          <w:color w:val="auto"/>
          <w:sz w:val="24"/>
        </w:rPr>
        <w:t>的提取标准。</w:t>
      </w:r>
    </w:p>
    <w:p>
      <w:pPr>
        <w:widowControl/>
        <w:spacing w:line="500" w:lineRule="exact"/>
        <w:ind w:firstLine="480" w:firstLineChars="200"/>
        <w:rPr>
          <w:rFonts w:ascii="宋体" w:hAnsi="宋体"/>
          <w:color w:val="auto"/>
          <w:sz w:val="24"/>
        </w:rPr>
      </w:pPr>
      <w:r>
        <w:rPr>
          <w:rFonts w:hint="eastAsia" w:ascii="宋体" w:hAnsi="宋体"/>
          <w:color w:val="auto"/>
          <w:sz w:val="24"/>
        </w:rPr>
        <w:t>1）</w:t>
      </w:r>
      <w:r>
        <w:rPr>
          <w:rFonts w:ascii="宋体" w:hAnsi="宋体"/>
          <w:color w:val="auto"/>
          <w:sz w:val="24"/>
        </w:rPr>
        <w:t>完善、改造和维护安全防护设施设备和重大安全隐患治理支出</w:t>
      </w:r>
      <w:r>
        <w:rPr>
          <w:rFonts w:hint="eastAsia" w:ascii="宋体" w:hAnsi="宋体"/>
          <w:color w:val="auto"/>
          <w:sz w:val="24"/>
        </w:rPr>
        <w:t>。</w:t>
      </w:r>
      <w:r>
        <w:rPr>
          <w:rFonts w:ascii="宋体" w:hAnsi="宋体"/>
          <w:color w:val="auto"/>
          <w:sz w:val="24"/>
        </w:rPr>
        <w:t>包括矿山综合防尘、防灭火、防治水、机电设备、供配电系统、运输系统等</w:t>
      </w:r>
      <w:r>
        <w:rPr>
          <w:rFonts w:hint="eastAsia" w:ascii="宋体" w:hAnsi="宋体"/>
          <w:color w:val="auto"/>
          <w:sz w:val="24"/>
        </w:rPr>
        <w:t>的</w:t>
      </w:r>
      <w:r>
        <w:rPr>
          <w:rFonts w:ascii="宋体" w:hAnsi="宋体"/>
          <w:color w:val="auto"/>
          <w:sz w:val="24"/>
        </w:rPr>
        <w:t>完善、改造和维护支出</w:t>
      </w:r>
      <w:r>
        <w:rPr>
          <w:rFonts w:hint="eastAsia" w:ascii="宋体" w:hAnsi="宋体"/>
          <w:color w:val="auto"/>
          <w:sz w:val="24"/>
        </w:rPr>
        <w:t>，</w:t>
      </w:r>
      <w:r>
        <w:rPr>
          <w:rFonts w:ascii="宋体" w:hAnsi="宋体"/>
          <w:color w:val="auto"/>
          <w:sz w:val="24"/>
        </w:rPr>
        <w:t>以及实施露天矿边坡治理等支出。</w:t>
      </w:r>
    </w:p>
    <w:p>
      <w:pPr>
        <w:widowControl/>
        <w:spacing w:line="500" w:lineRule="exact"/>
        <w:ind w:firstLine="480" w:firstLineChars="200"/>
        <w:rPr>
          <w:rFonts w:ascii="宋体" w:hAnsi="宋体"/>
          <w:color w:val="auto"/>
          <w:sz w:val="24"/>
        </w:rPr>
      </w:pPr>
      <w:r>
        <w:rPr>
          <w:rFonts w:hint="eastAsia" w:ascii="宋体" w:hAnsi="宋体"/>
          <w:color w:val="auto"/>
          <w:sz w:val="24"/>
        </w:rPr>
        <w:t>2</w:t>
      </w:r>
      <w:r>
        <w:rPr>
          <w:rFonts w:ascii="宋体" w:hAnsi="宋体"/>
          <w:color w:val="auto"/>
          <w:sz w:val="24"/>
        </w:rPr>
        <w:t>）完善应急救援技术装备、设施配置及维护保养支出，事故逃生和紧急避难设施设备的配置和应急演练支出。</w:t>
      </w:r>
    </w:p>
    <w:p>
      <w:pPr>
        <w:widowControl/>
        <w:spacing w:line="500" w:lineRule="exact"/>
        <w:ind w:firstLine="480" w:firstLineChars="200"/>
        <w:rPr>
          <w:rFonts w:ascii="宋体" w:hAnsi="宋体"/>
          <w:color w:val="auto"/>
          <w:sz w:val="24"/>
        </w:rPr>
      </w:pPr>
      <w:r>
        <w:rPr>
          <w:rFonts w:hint="eastAsia" w:ascii="宋体" w:hAnsi="宋体"/>
          <w:color w:val="auto"/>
          <w:sz w:val="24"/>
        </w:rPr>
        <w:t>3</w:t>
      </w:r>
      <w:r>
        <w:rPr>
          <w:rFonts w:ascii="宋体" w:hAnsi="宋体"/>
          <w:color w:val="auto"/>
          <w:sz w:val="24"/>
        </w:rPr>
        <w:t>）开展重大危险源和事故隐患评估、监控和整改支出。</w:t>
      </w:r>
    </w:p>
    <w:p>
      <w:pPr>
        <w:widowControl/>
        <w:spacing w:line="500" w:lineRule="exact"/>
        <w:ind w:firstLine="480" w:firstLineChars="200"/>
        <w:rPr>
          <w:rFonts w:ascii="宋体" w:hAnsi="宋体"/>
          <w:color w:val="auto"/>
          <w:sz w:val="24"/>
        </w:rPr>
      </w:pPr>
      <w:r>
        <w:rPr>
          <w:rFonts w:hint="eastAsia" w:ascii="宋体" w:hAnsi="宋体"/>
          <w:color w:val="auto"/>
          <w:sz w:val="24"/>
        </w:rPr>
        <w:t>4</w:t>
      </w:r>
      <w:r>
        <w:rPr>
          <w:rFonts w:ascii="宋体" w:hAnsi="宋体"/>
          <w:color w:val="auto"/>
          <w:sz w:val="24"/>
        </w:rPr>
        <w:t>）安全生产检查、评价（不包括新建、改建、扩建项目安全评价）、咨询、标准化建设支出。</w:t>
      </w:r>
    </w:p>
    <w:p>
      <w:pPr>
        <w:widowControl/>
        <w:spacing w:line="500" w:lineRule="exact"/>
        <w:ind w:firstLine="480" w:firstLineChars="200"/>
        <w:rPr>
          <w:rFonts w:ascii="宋体" w:hAnsi="宋体"/>
          <w:color w:val="auto"/>
          <w:sz w:val="24"/>
        </w:rPr>
      </w:pPr>
      <w:r>
        <w:rPr>
          <w:rFonts w:hint="eastAsia" w:ascii="宋体" w:hAnsi="宋体"/>
          <w:color w:val="auto"/>
          <w:sz w:val="24"/>
        </w:rPr>
        <w:t>5</w:t>
      </w:r>
      <w:r>
        <w:rPr>
          <w:rFonts w:ascii="宋体" w:hAnsi="宋体"/>
          <w:color w:val="auto"/>
          <w:sz w:val="24"/>
        </w:rPr>
        <w:t>）配备和更新现场作业人员安全防护用品支出。</w:t>
      </w:r>
    </w:p>
    <w:p>
      <w:pPr>
        <w:widowControl/>
        <w:spacing w:line="500" w:lineRule="exact"/>
        <w:ind w:firstLine="480" w:firstLineChars="200"/>
        <w:rPr>
          <w:rFonts w:ascii="宋体" w:hAnsi="宋体"/>
          <w:color w:val="auto"/>
          <w:sz w:val="24"/>
        </w:rPr>
      </w:pPr>
      <w:r>
        <w:rPr>
          <w:rFonts w:hint="eastAsia" w:ascii="宋体" w:hAnsi="宋体"/>
          <w:color w:val="auto"/>
          <w:sz w:val="24"/>
        </w:rPr>
        <w:t>6</w:t>
      </w:r>
      <w:r>
        <w:rPr>
          <w:rFonts w:ascii="宋体" w:hAnsi="宋体"/>
          <w:color w:val="auto"/>
          <w:sz w:val="24"/>
        </w:rPr>
        <w:t>）安全生产宣传、教育、培训支出。</w:t>
      </w:r>
    </w:p>
    <w:p>
      <w:pPr>
        <w:widowControl/>
        <w:spacing w:line="500" w:lineRule="exact"/>
        <w:ind w:firstLine="480" w:firstLineChars="200"/>
        <w:rPr>
          <w:rFonts w:ascii="宋体" w:hAnsi="宋体"/>
          <w:color w:val="auto"/>
          <w:sz w:val="24"/>
        </w:rPr>
      </w:pPr>
      <w:r>
        <w:rPr>
          <w:rFonts w:hint="eastAsia" w:ascii="宋体" w:hAnsi="宋体"/>
          <w:color w:val="auto"/>
          <w:sz w:val="24"/>
        </w:rPr>
        <w:t>7</w:t>
      </w:r>
      <w:r>
        <w:rPr>
          <w:rFonts w:ascii="宋体" w:hAnsi="宋体"/>
          <w:color w:val="auto"/>
          <w:sz w:val="24"/>
        </w:rPr>
        <w:t>）安全生产适用的新技术、新标准、新工艺、新装备的推广应用支出。</w:t>
      </w:r>
    </w:p>
    <w:p>
      <w:pPr>
        <w:widowControl/>
        <w:spacing w:line="500" w:lineRule="exact"/>
        <w:ind w:firstLine="480" w:firstLineChars="200"/>
        <w:rPr>
          <w:rFonts w:ascii="宋体" w:hAnsi="宋体"/>
          <w:color w:val="auto"/>
          <w:sz w:val="24"/>
        </w:rPr>
      </w:pPr>
      <w:r>
        <w:rPr>
          <w:rFonts w:hint="eastAsia" w:ascii="宋体" w:hAnsi="宋体"/>
          <w:color w:val="auto"/>
          <w:sz w:val="24"/>
        </w:rPr>
        <w:t>8</w:t>
      </w:r>
      <w:r>
        <w:rPr>
          <w:rFonts w:ascii="宋体" w:hAnsi="宋体"/>
          <w:color w:val="auto"/>
          <w:sz w:val="24"/>
        </w:rPr>
        <w:t>）安全设施及特种设备检测检验支出</w:t>
      </w:r>
      <w:r>
        <w:rPr>
          <w:rFonts w:hint="eastAsia" w:ascii="宋体" w:hAnsi="宋体"/>
          <w:color w:val="auto"/>
          <w:sz w:val="24"/>
        </w:rPr>
        <w:t>。</w:t>
      </w:r>
    </w:p>
    <w:p>
      <w:pPr>
        <w:widowControl/>
        <w:spacing w:line="500" w:lineRule="exact"/>
        <w:ind w:firstLine="480" w:firstLineChars="200"/>
        <w:rPr>
          <w:rFonts w:ascii="宋体" w:hAnsi="宋体"/>
          <w:color w:val="auto"/>
          <w:sz w:val="24"/>
        </w:rPr>
      </w:pPr>
      <w:r>
        <w:rPr>
          <w:rFonts w:hint="eastAsia" w:ascii="宋体" w:hAnsi="宋体"/>
          <w:color w:val="auto"/>
          <w:sz w:val="24"/>
        </w:rPr>
        <w:t>9）按《非煤矿矿山企业安全生产许可证实施办法》要求办理安全生产责任保险。</w:t>
      </w:r>
    </w:p>
    <w:p>
      <w:pPr>
        <w:pStyle w:val="5"/>
        <w:keepLines w:val="0"/>
        <w:widowControl/>
        <w:spacing w:before="120" w:after="120" w:line="500" w:lineRule="exact"/>
        <w:rPr>
          <w:rFonts w:ascii="宋体" w:hAnsi="宋体"/>
          <w:color w:val="auto"/>
          <w:kern w:val="28"/>
          <w:sz w:val="28"/>
          <w:szCs w:val="28"/>
        </w:rPr>
      </w:pPr>
      <w:r>
        <w:rPr>
          <w:rFonts w:hint="eastAsia" w:ascii="宋体" w:hAnsi="宋体"/>
          <w:color w:val="auto"/>
          <w:kern w:val="28"/>
          <w:sz w:val="28"/>
          <w:szCs w:val="28"/>
        </w:rPr>
        <w:t>4.2.6安全生产标准化</w:t>
      </w:r>
    </w:p>
    <w:p>
      <w:pPr>
        <w:widowControl/>
        <w:spacing w:line="500" w:lineRule="exact"/>
        <w:ind w:firstLine="480" w:firstLineChars="200"/>
        <w:rPr>
          <w:rFonts w:ascii="宋体" w:hAnsi="宋体"/>
          <w:color w:val="auto"/>
          <w:sz w:val="24"/>
        </w:rPr>
      </w:pPr>
      <w:r>
        <w:rPr>
          <w:rFonts w:hint="eastAsia" w:ascii="宋体" w:hAnsi="宋体"/>
          <w:color w:val="auto"/>
          <w:sz w:val="24"/>
        </w:rPr>
        <w:t>企业取得安全生产许可证后，</w:t>
      </w:r>
      <w:r>
        <w:rPr>
          <w:rFonts w:ascii="宋体" w:hAnsi="宋体"/>
          <w:color w:val="auto"/>
          <w:sz w:val="24"/>
        </w:rPr>
        <w:t>应积极开展安全标准化工作</w:t>
      </w:r>
      <w:r>
        <w:rPr>
          <w:rFonts w:hint="eastAsia" w:ascii="宋体" w:hAnsi="宋体"/>
          <w:color w:val="auto"/>
          <w:sz w:val="24"/>
        </w:rPr>
        <w:t>，提高企业安全标准化等级</w:t>
      </w:r>
      <w:r>
        <w:rPr>
          <w:rFonts w:ascii="宋体" w:hAnsi="宋体"/>
          <w:color w:val="auto"/>
          <w:sz w:val="24"/>
        </w:rPr>
        <w:t>。</w:t>
      </w:r>
    </w:p>
    <w:p>
      <w:pPr>
        <w:pStyle w:val="5"/>
        <w:keepLines w:val="0"/>
        <w:widowControl/>
        <w:spacing w:before="120" w:after="120" w:line="500" w:lineRule="exact"/>
        <w:rPr>
          <w:rFonts w:ascii="宋体" w:hAnsi="宋体"/>
          <w:color w:val="auto"/>
          <w:kern w:val="28"/>
          <w:sz w:val="28"/>
          <w:szCs w:val="28"/>
        </w:rPr>
      </w:pPr>
      <w:bookmarkStart w:id="312" w:name="_Toc190431894"/>
      <w:bookmarkStart w:id="313" w:name="_Toc193792535"/>
      <w:bookmarkStart w:id="314" w:name="_Toc209858962"/>
      <w:bookmarkStart w:id="315" w:name="_Toc193792644"/>
      <w:bookmarkStart w:id="316" w:name="_Toc194551715"/>
      <w:bookmarkStart w:id="317" w:name="_Toc190416580"/>
      <w:bookmarkStart w:id="318" w:name="_Toc194481423"/>
      <w:bookmarkStart w:id="319" w:name="_Toc193101205"/>
      <w:bookmarkStart w:id="320" w:name="_Toc193789445"/>
      <w:r>
        <w:rPr>
          <w:rFonts w:hint="eastAsia" w:ascii="宋体" w:hAnsi="宋体"/>
          <w:color w:val="auto"/>
          <w:kern w:val="28"/>
          <w:sz w:val="28"/>
          <w:szCs w:val="28"/>
        </w:rPr>
        <w:t>4.2.7实施监督与管理</w:t>
      </w:r>
      <w:bookmarkEnd w:id="312"/>
      <w:bookmarkEnd w:id="313"/>
      <w:bookmarkEnd w:id="314"/>
      <w:bookmarkEnd w:id="315"/>
      <w:bookmarkEnd w:id="316"/>
      <w:bookmarkEnd w:id="317"/>
      <w:bookmarkEnd w:id="318"/>
      <w:bookmarkEnd w:id="319"/>
      <w:bookmarkEnd w:id="320"/>
    </w:p>
    <w:p>
      <w:pPr>
        <w:widowControl/>
        <w:spacing w:line="500" w:lineRule="exact"/>
        <w:ind w:firstLine="480" w:firstLineChars="200"/>
        <w:rPr>
          <w:rFonts w:ascii="宋体" w:hAnsi="宋体"/>
          <w:color w:val="auto"/>
          <w:sz w:val="24"/>
        </w:rPr>
      </w:pPr>
      <w:r>
        <w:rPr>
          <w:rFonts w:hint="eastAsia" w:ascii="宋体" w:hAnsi="宋体"/>
          <w:color w:val="auto"/>
          <w:sz w:val="24"/>
        </w:rPr>
        <w:t>1）安全管理对策措施的动态表现就是监督与检查，对于有关安全生产方面国家法律法规、技术标准、规范和行政规章执行情况的监督与检查，对于本单位所制定的各类安全生产规章制度和责任制的落实情况的监督与检查。</w:t>
      </w:r>
    </w:p>
    <w:p>
      <w:pPr>
        <w:widowControl/>
        <w:spacing w:line="500" w:lineRule="exact"/>
        <w:ind w:firstLine="480" w:firstLineChars="200"/>
        <w:rPr>
          <w:rFonts w:ascii="宋体" w:hAnsi="宋体"/>
          <w:color w:val="auto"/>
          <w:sz w:val="24"/>
        </w:rPr>
      </w:pPr>
      <w:r>
        <w:rPr>
          <w:rFonts w:hint="eastAsia" w:ascii="宋体" w:hAnsi="宋体"/>
          <w:color w:val="auto"/>
          <w:sz w:val="24"/>
        </w:rPr>
        <w:t>2）通过监督检查，保证本单位各层面的安全教育和培训能正常有效地进行，保证本单位安全生产投入有效实施，保证本单位安全设施、安全技术装备能正常发挥作用。</w:t>
      </w:r>
    </w:p>
    <w:p>
      <w:pPr>
        <w:widowControl/>
        <w:spacing w:line="500" w:lineRule="exact"/>
        <w:ind w:firstLine="480" w:firstLineChars="200"/>
        <w:rPr>
          <w:rFonts w:ascii="宋体" w:hAnsi="宋体"/>
          <w:color w:val="auto"/>
          <w:sz w:val="24"/>
        </w:rPr>
      </w:pPr>
      <w:r>
        <w:rPr>
          <w:rFonts w:hint="eastAsia" w:ascii="宋体" w:hAnsi="宋体"/>
          <w:color w:val="auto"/>
          <w:sz w:val="24"/>
        </w:rPr>
        <w:t>3）经常性督促、检查本单位的安全生产工作，及时消除生产安全事故隐患。</w:t>
      </w:r>
    </w:p>
    <w:p>
      <w:pPr>
        <w:widowControl/>
        <w:spacing w:line="500" w:lineRule="exact"/>
        <w:ind w:firstLine="480" w:firstLineChars="200"/>
        <w:rPr>
          <w:rFonts w:ascii="宋体" w:hAnsi="宋体"/>
          <w:color w:val="auto"/>
          <w:sz w:val="24"/>
        </w:rPr>
      </w:pPr>
      <w:r>
        <w:rPr>
          <w:rFonts w:hint="eastAsia" w:ascii="宋体" w:hAnsi="宋体"/>
          <w:color w:val="auto"/>
          <w:sz w:val="24"/>
        </w:rPr>
        <w:t>4）安全生产管理人员应当根据本单位的实际情况，对本单位生产状况进行经常性检查，对检查中发现的安全问题，应当立即处理；不能处理的，应当及时报告本单位有关负责人。检查及处理情况应当记录在案。</w:t>
      </w:r>
    </w:p>
    <w:p>
      <w:pPr>
        <w:widowControl/>
        <w:spacing w:line="500" w:lineRule="exact"/>
        <w:ind w:firstLine="480" w:firstLineChars="200"/>
        <w:rPr>
          <w:rFonts w:ascii="宋体" w:hAnsi="宋体"/>
          <w:color w:val="auto"/>
          <w:sz w:val="24"/>
        </w:rPr>
      </w:pPr>
      <w:r>
        <w:rPr>
          <w:rFonts w:hint="eastAsia" w:ascii="宋体" w:hAnsi="宋体"/>
          <w:color w:val="auto"/>
          <w:sz w:val="24"/>
        </w:rPr>
        <w:t>5）制定并严格执行动火审批制度，动火前应检测可燃物。</w:t>
      </w:r>
    </w:p>
    <w:p>
      <w:pPr>
        <w:widowControl/>
        <w:spacing w:line="500" w:lineRule="exact"/>
        <w:ind w:firstLine="480" w:firstLineChars="200"/>
        <w:rPr>
          <w:rFonts w:ascii="宋体" w:hAnsi="宋体"/>
          <w:color w:val="auto"/>
          <w:sz w:val="24"/>
        </w:rPr>
      </w:pPr>
      <w:r>
        <w:rPr>
          <w:rFonts w:hint="eastAsia" w:ascii="宋体" w:hAnsi="宋体"/>
          <w:color w:val="auto"/>
          <w:sz w:val="24"/>
        </w:rPr>
        <w:t>6）矿山防火灾计划应每年编制，包括防火措施、各级人员的职责等。</w:t>
      </w:r>
    </w:p>
    <w:p>
      <w:pPr>
        <w:pStyle w:val="5"/>
        <w:keepLines w:val="0"/>
        <w:widowControl/>
        <w:spacing w:before="120" w:after="120" w:line="500" w:lineRule="exact"/>
        <w:rPr>
          <w:rFonts w:ascii="宋体" w:hAnsi="宋体"/>
          <w:color w:val="auto"/>
          <w:kern w:val="28"/>
          <w:sz w:val="28"/>
          <w:szCs w:val="28"/>
        </w:rPr>
      </w:pPr>
      <w:r>
        <w:rPr>
          <w:rFonts w:hint="eastAsia" w:ascii="宋体" w:hAnsi="宋体"/>
          <w:color w:val="auto"/>
          <w:kern w:val="28"/>
          <w:sz w:val="28"/>
          <w:szCs w:val="28"/>
        </w:rPr>
        <w:t>4.2.8职业健康管理要求</w:t>
      </w:r>
    </w:p>
    <w:p>
      <w:pPr>
        <w:widowControl/>
        <w:spacing w:line="500" w:lineRule="exact"/>
        <w:ind w:firstLine="480" w:firstLineChars="200"/>
        <w:rPr>
          <w:rFonts w:ascii="宋体" w:hAnsi="宋体"/>
          <w:color w:val="auto"/>
          <w:sz w:val="24"/>
        </w:rPr>
      </w:pPr>
      <w:r>
        <w:rPr>
          <w:rFonts w:hint="eastAsia" w:ascii="宋体" w:hAnsi="宋体"/>
          <w:color w:val="auto"/>
          <w:sz w:val="24"/>
        </w:rPr>
        <w:t>1）矿山应设职业健康管理机构，配备专职或兼职管理人员，负责矿山职业危害防治工作。</w:t>
      </w:r>
    </w:p>
    <w:p>
      <w:pPr>
        <w:widowControl/>
        <w:spacing w:line="500" w:lineRule="exact"/>
        <w:ind w:firstLine="480" w:firstLineChars="200"/>
        <w:rPr>
          <w:rFonts w:ascii="宋体" w:hAnsi="宋体"/>
          <w:color w:val="auto"/>
          <w:sz w:val="24"/>
        </w:rPr>
      </w:pPr>
      <w:r>
        <w:rPr>
          <w:rFonts w:hint="eastAsia" w:ascii="宋体" w:hAnsi="宋体"/>
          <w:color w:val="auto"/>
          <w:sz w:val="24"/>
        </w:rPr>
        <w:t>2）矿山负责人及职业健康管理人员应接受职业健康知识及相关法规的培训，提高其管理能力。</w:t>
      </w:r>
    </w:p>
    <w:p>
      <w:pPr>
        <w:widowControl/>
        <w:spacing w:line="500" w:lineRule="exact"/>
        <w:ind w:firstLine="480" w:firstLineChars="200"/>
        <w:rPr>
          <w:rFonts w:ascii="宋体" w:hAnsi="宋体"/>
          <w:color w:val="auto"/>
          <w:sz w:val="24"/>
        </w:rPr>
      </w:pPr>
      <w:r>
        <w:rPr>
          <w:rFonts w:hint="eastAsia" w:ascii="宋体" w:hAnsi="宋体"/>
          <w:color w:val="auto"/>
          <w:sz w:val="24"/>
        </w:rPr>
        <w:t>3）矿山应对其从业人员进行职业健康教育，督促从业人员遵守职业危害防治法规、标准及规章。</w:t>
      </w:r>
    </w:p>
    <w:p>
      <w:pPr>
        <w:widowControl/>
        <w:spacing w:line="500" w:lineRule="exact"/>
        <w:ind w:firstLine="480" w:firstLineChars="200"/>
        <w:rPr>
          <w:rFonts w:ascii="宋体" w:hAnsi="宋体"/>
          <w:color w:val="auto"/>
          <w:sz w:val="24"/>
        </w:rPr>
      </w:pPr>
      <w:r>
        <w:rPr>
          <w:rFonts w:hint="eastAsia" w:ascii="宋体" w:hAnsi="宋体"/>
          <w:color w:val="auto"/>
          <w:sz w:val="24"/>
        </w:rPr>
        <w:t>4）矿山应当建立、健全职业危害防治制度和操作规程。</w:t>
      </w:r>
    </w:p>
    <w:p>
      <w:pPr>
        <w:widowControl/>
        <w:spacing w:line="500" w:lineRule="exact"/>
        <w:ind w:firstLine="480" w:firstLineChars="200"/>
        <w:rPr>
          <w:rFonts w:ascii="宋体" w:hAnsi="宋体"/>
          <w:color w:val="auto"/>
          <w:sz w:val="24"/>
        </w:rPr>
      </w:pPr>
      <w:r>
        <w:rPr>
          <w:rFonts w:hint="eastAsia" w:ascii="宋体" w:hAnsi="宋体"/>
          <w:color w:val="auto"/>
          <w:sz w:val="24"/>
        </w:rPr>
        <w:t>5）矿山应按规定，及时、如实地将本单位的职业危害因素向当地应急管理部申报，并自觉接受其监督和检查。</w:t>
      </w:r>
    </w:p>
    <w:p>
      <w:pPr>
        <w:widowControl/>
        <w:spacing w:line="500" w:lineRule="exact"/>
        <w:ind w:firstLine="480" w:firstLineChars="200"/>
        <w:rPr>
          <w:rFonts w:ascii="宋体" w:hAnsi="宋体"/>
          <w:color w:val="auto"/>
          <w:sz w:val="24"/>
        </w:rPr>
      </w:pPr>
      <w:r>
        <w:rPr>
          <w:rFonts w:hint="eastAsia" w:ascii="宋体" w:hAnsi="宋体"/>
          <w:color w:val="auto"/>
          <w:sz w:val="24"/>
        </w:rPr>
        <w:t>6）矿山委托有相应资质的中介机构每年至少进行一次职业危害因素检测，每三年至少进行一次职业危害现状评价。</w:t>
      </w:r>
    </w:p>
    <w:p>
      <w:pPr>
        <w:widowControl/>
        <w:spacing w:line="500" w:lineRule="exact"/>
        <w:ind w:firstLine="480" w:firstLineChars="200"/>
        <w:rPr>
          <w:rFonts w:ascii="宋体" w:hAnsi="宋体"/>
          <w:color w:val="auto"/>
          <w:sz w:val="24"/>
        </w:rPr>
      </w:pPr>
      <w:r>
        <w:rPr>
          <w:rFonts w:hint="eastAsia" w:ascii="宋体" w:hAnsi="宋体"/>
          <w:color w:val="auto"/>
          <w:sz w:val="24"/>
        </w:rPr>
        <w:t>7）对接触职业危害的从业人员，矿山应按规定组织上岗前、在岗期间和离岗时的职业健康检查，建立职业健康监护档案并妥善保管。</w:t>
      </w:r>
    </w:p>
    <w:p>
      <w:pPr>
        <w:pStyle w:val="5"/>
        <w:keepLines w:val="0"/>
        <w:widowControl/>
        <w:spacing w:before="120" w:after="120" w:line="500" w:lineRule="exact"/>
        <w:rPr>
          <w:rFonts w:ascii="宋体" w:hAnsi="宋体"/>
          <w:color w:val="auto"/>
          <w:kern w:val="28"/>
          <w:sz w:val="28"/>
          <w:szCs w:val="28"/>
        </w:rPr>
      </w:pPr>
      <w:bookmarkStart w:id="321" w:name="_Toc194551717"/>
      <w:bookmarkStart w:id="322" w:name="_Toc193792646"/>
      <w:bookmarkStart w:id="323" w:name="_Toc209858964"/>
      <w:bookmarkStart w:id="324" w:name="_Toc193792537"/>
      <w:bookmarkStart w:id="325" w:name="_Toc194481425"/>
      <w:r>
        <w:rPr>
          <w:rFonts w:hint="eastAsia" w:ascii="宋体" w:hAnsi="宋体"/>
          <w:color w:val="auto"/>
          <w:kern w:val="28"/>
          <w:sz w:val="28"/>
          <w:szCs w:val="28"/>
        </w:rPr>
        <w:t>4.2.9制定事故应急预案</w:t>
      </w:r>
      <w:bookmarkEnd w:id="321"/>
      <w:bookmarkEnd w:id="322"/>
      <w:bookmarkEnd w:id="323"/>
      <w:bookmarkEnd w:id="324"/>
      <w:bookmarkEnd w:id="325"/>
    </w:p>
    <w:bookmarkEnd w:id="266"/>
    <w:bookmarkEnd w:id="267"/>
    <w:bookmarkEnd w:id="268"/>
    <w:bookmarkEnd w:id="269"/>
    <w:bookmarkEnd w:id="270"/>
    <w:bookmarkEnd w:id="271"/>
    <w:bookmarkEnd w:id="272"/>
    <w:bookmarkEnd w:id="273"/>
    <w:bookmarkEnd w:id="274"/>
    <w:bookmarkEnd w:id="275"/>
    <w:p>
      <w:pPr>
        <w:widowControl/>
        <w:spacing w:line="500" w:lineRule="exact"/>
        <w:ind w:firstLine="480" w:firstLineChars="200"/>
        <w:rPr>
          <w:rFonts w:ascii="宋体" w:hAnsi="宋体"/>
          <w:color w:val="auto"/>
          <w:sz w:val="24"/>
        </w:rPr>
      </w:pPr>
      <w:bookmarkStart w:id="326" w:name="_Toc158167934"/>
      <w:bookmarkStart w:id="327" w:name="_Toc149559820"/>
      <w:bookmarkStart w:id="328" w:name="_Toc166918989"/>
      <w:bookmarkStart w:id="329" w:name="_Toc166919207"/>
      <w:bookmarkStart w:id="330" w:name="_Toc168484338"/>
      <w:bookmarkStart w:id="331" w:name="_Toc156811399"/>
      <w:bookmarkStart w:id="332" w:name="_Toc158168047"/>
      <w:bookmarkStart w:id="333" w:name="_Toc233881451"/>
      <w:bookmarkStart w:id="334" w:name="_Toc198106942"/>
      <w:r>
        <w:rPr>
          <w:rFonts w:hint="eastAsia" w:ascii="宋体" w:hAnsi="宋体"/>
          <w:color w:val="auto"/>
          <w:sz w:val="24"/>
        </w:rPr>
        <w:t>1）事故应急救援预案的作用</w:t>
      </w:r>
    </w:p>
    <w:p>
      <w:pPr>
        <w:widowControl/>
        <w:spacing w:line="500" w:lineRule="exact"/>
        <w:ind w:firstLine="480" w:firstLineChars="200"/>
        <w:rPr>
          <w:rFonts w:ascii="宋体" w:hAnsi="宋体"/>
          <w:color w:val="auto"/>
          <w:sz w:val="24"/>
        </w:rPr>
      </w:pPr>
      <w:r>
        <w:rPr>
          <w:rFonts w:hint="eastAsia" w:ascii="宋体" w:hAnsi="宋体"/>
          <w:color w:val="auto"/>
          <w:sz w:val="24"/>
        </w:rPr>
        <w:t>编制好事故应急救援预案，当事故发生时，可起到下列积极作用：</w:t>
      </w:r>
    </w:p>
    <w:p>
      <w:pPr>
        <w:widowControl/>
        <w:spacing w:line="500" w:lineRule="exact"/>
        <w:ind w:firstLine="480" w:firstLineChars="200"/>
        <w:rPr>
          <w:rFonts w:ascii="宋体" w:hAnsi="宋体"/>
          <w:color w:val="auto"/>
          <w:sz w:val="24"/>
        </w:rPr>
      </w:pPr>
      <w:r>
        <w:rPr>
          <w:rFonts w:hint="eastAsia" w:ascii="宋体" w:hAnsi="宋体"/>
          <w:color w:val="auto"/>
          <w:sz w:val="24"/>
        </w:rPr>
        <w:t>（1）保证救援行动紧张、有序、有效地进行，避免因行动紊乱而造成不必要的事故损失。</w:t>
      </w:r>
    </w:p>
    <w:p>
      <w:pPr>
        <w:widowControl/>
        <w:spacing w:line="500" w:lineRule="exact"/>
        <w:ind w:firstLine="480" w:firstLineChars="200"/>
        <w:rPr>
          <w:rFonts w:ascii="宋体" w:hAnsi="宋体"/>
          <w:color w:val="auto"/>
          <w:sz w:val="24"/>
        </w:rPr>
      </w:pPr>
      <w:r>
        <w:rPr>
          <w:rFonts w:hint="eastAsia" w:ascii="宋体" w:hAnsi="宋体"/>
          <w:color w:val="auto"/>
          <w:sz w:val="24"/>
        </w:rPr>
        <w:t>（2）将紧急事件局部化，并尽力予以消除。</w:t>
      </w:r>
    </w:p>
    <w:p>
      <w:pPr>
        <w:widowControl/>
        <w:spacing w:line="500" w:lineRule="exact"/>
        <w:ind w:firstLine="480" w:firstLineChars="200"/>
        <w:rPr>
          <w:rFonts w:ascii="宋体" w:hAnsi="宋体"/>
          <w:color w:val="auto"/>
          <w:sz w:val="24"/>
        </w:rPr>
      </w:pPr>
      <w:r>
        <w:rPr>
          <w:rFonts w:hint="eastAsia" w:ascii="宋体" w:hAnsi="宋体"/>
          <w:color w:val="auto"/>
          <w:sz w:val="24"/>
        </w:rPr>
        <w:t>（3）可以最大限度地减少事故发生或降低事故造成的损失。</w:t>
      </w:r>
    </w:p>
    <w:p>
      <w:pPr>
        <w:widowControl/>
        <w:spacing w:line="500" w:lineRule="exact"/>
        <w:ind w:firstLine="480" w:firstLineChars="200"/>
        <w:rPr>
          <w:rFonts w:ascii="宋体" w:hAnsi="宋体"/>
          <w:color w:val="auto"/>
          <w:sz w:val="24"/>
        </w:rPr>
      </w:pPr>
      <w:r>
        <w:rPr>
          <w:rFonts w:hint="eastAsia" w:ascii="宋体" w:hAnsi="宋体"/>
          <w:color w:val="auto"/>
          <w:sz w:val="24"/>
        </w:rPr>
        <w:t>（4）能有效利用各种应急资源，如人员、技术、医疗和信息等，保证在最短时间内完成对事故现场的应急救援行动。</w:t>
      </w:r>
    </w:p>
    <w:p>
      <w:pPr>
        <w:widowControl/>
        <w:spacing w:line="500" w:lineRule="exact"/>
        <w:ind w:firstLine="480" w:firstLineChars="200"/>
        <w:rPr>
          <w:rFonts w:ascii="宋体" w:hAnsi="宋体"/>
          <w:color w:val="auto"/>
          <w:sz w:val="24"/>
        </w:rPr>
      </w:pPr>
      <w:r>
        <w:rPr>
          <w:rFonts w:ascii="宋体" w:hAnsi="宋体"/>
          <w:color w:val="auto"/>
          <w:sz w:val="24"/>
        </w:rPr>
        <w:t>2</w:t>
      </w:r>
      <w:r>
        <w:rPr>
          <w:rFonts w:hint="eastAsia" w:ascii="宋体" w:hAnsi="宋体"/>
          <w:color w:val="auto"/>
          <w:sz w:val="24"/>
        </w:rPr>
        <w:t>）应急预案</w:t>
      </w:r>
      <w:r>
        <w:rPr>
          <w:rFonts w:ascii="宋体" w:hAnsi="宋体"/>
          <w:color w:val="auto"/>
          <w:sz w:val="24"/>
        </w:rPr>
        <w:t>编制应按照</w:t>
      </w:r>
      <w:r>
        <w:rPr>
          <w:rFonts w:hint="eastAsia" w:ascii="宋体" w:hAnsi="宋体"/>
          <w:color w:val="auto"/>
          <w:sz w:val="24"/>
        </w:rPr>
        <w:t>《生产经营单位生产安全事故应急预案编制导则》进行</w:t>
      </w:r>
      <w:r>
        <w:rPr>
          <w:rFonts w:ascii="宋体" w:hAnsi="宋体"/>
          <w:color w:val="auto"/>
          <w:sz w:val="24"/>
        </w:rPr>
        <w:t>编制。</w:t>
      </w:r>
    </w:p>
    <w:p>
      <w:pPr>
        <w:widowControl/>
        <w:spacing w:line="500" w:lineRule="exact"/>
        <w:ind w:firstLine="480" w:firstLineChars="200"/>
        <w:rPr>
          <w:rFonts w:ascii="宋体" w:hAnsi="宋体"/>
          <w:color w:val="auto"/>
          <w:sz w:val="24"/>
        </w:rPr>
      </w:pPr>
      <w:r>
        <w:rPr>
          <w:rFonts w:hint="eastAsia" w:ascii="宋体" w:hAnsi="宋体"/>
          <w:color w:val="auto"/>
          <w:sz w:val="24"/>
        </w:rPr>
        <w:t>3）矿山</w:t>
      </w:r>
      <w:r>
        <w:rPr>
          <w:rFonts w:ascii="宋体" w:hAnsi="宋体"/>
          <w:color w:val="auto"/>
          <w:sz w:val="24"/>
        </w:rPr>
        <w:t>应急预案编制完成后应报当地应急管理部备案</w:t>
      </w:r>
      <w:r>
        <w:rPr>
          <w:rFonts w:hint="eastAsia" w:ascii="宋体" w:hAnsi="宋体"/>
          <w:color w:val="auto"/>
          <w:sz w:val="24"/>
        </w:rPr>
        <w:t>，并</w:t>
      </w:r>
      <w:r>
        <w:rPr>
          <w:rFonts w:ascii="宋体" w:hAnsi="宋体"/>
          <w:color w:val="auto"/>
          <w:sz w:val="24"/>
        </w:rPr>
        <w:t>应定期演练</w:t>
      </w:r>
      <w:r>
        <w:rPr>
          <w:rFonts w:hint="eastAsia" w:ascii="宋体" w:hAnsi="宋体"/>
          <w:color w:val="auto"/>
          <w:sz w:val="24"/>
        </w:rPr>
        <w:t>。</w:t>
      </w:r>
    </w:p>
    <w:p>
      <w:pPr>
        <w:pStyle w:val="3"/>
        <w:widowControl/>
        <w:spacing w:before="120" w:after="120" w:line="500" w:lineRule="exact"/>
        <w:rPr>
          <w:rFonts w:ascii="宋体" w:hAnsi="宋体" w:eastAsia="宋体"/>
          <w:b/>
          <w:color w:val="auto"/>
          <w:kern w:val="30"/>
          <w:sz w:val="30"/>
          <w:szCs w:val="30"/>
        </w:rPr>
      </w:pPr>
      <w:r>
        <w:rPr>
          <w:rFonts w:ascii="宋体" w:hAnsi="宋体" w:eastAsia="宋体"/>
          <w:b/>
          <w:color w:val="auto"/>
          <w:szCs w:val="32"/>
        </w:rPr>
        <w:br w:type="page"/>
      </w:r>
      <w:bookmarkStart w:id="335" w:name="_Toc150262789"/>
      <w:r>
        <w:rPr>
          <w:rFonts w:hint="eastAsia" w:ascii="宋体" w:hAnsi="宋体" w:eastAsia="宋体"/>
          <w:b/>
          <w:color w:val="auto"/>
          <w:kern w:val="30"/>
          <w:sz w:val="30"/>
          <w:szCs w:val="30"/>
        </w:rPr>
        <w:t>5安全预评价结论</w:t>
      </w:r>
      <w:bookmarkEnd w:id="326"/>
      <w:bookmarkEnd w:id="327"/>
      <w:bookmarkEnd w:id="328"/>
      <w:bookmarkEnd w:id="329"/>
      <w:bookmarkEnd w:id="330"/>
      <w:bookmarkEnd w:id="331"/>
      <w:bookmarkEnd w:id="332"/>
      <w:bookmarkEnd w:id="333"/>
      <w:bookmarkEnd w:id="334"/>
      <w:bookmarkEnd w:id="335"/>
    </w:p>
    <w:p>
      <w:pPr>
        <w:widowControl/>
        <w:spacing w:line="500" w:lineRule="exact"/>
        <w:ind w:firstLine="480" w:firstLineChars="200"/>
        <w:rPr>
          <w:rFonts w:ascii="宋体" w:hAnsi="宋体"/>
          <w:color w:val="auto"/>
          <w:sz w:val="24"/>
        </w:rPr>
      </w:pPr>
      <w:r>
        <w:rPr>
          <w:rFonts w:ascii="宋体" w:hAnsi="宋体"/>
          <w:color w:val="auto"/>
          <w:sz w:val="24"/>
        </w:rPr>
        <w:t>通过</w:t>
      </w:r>
      <w:r>
        <w:rPr>
          <w:rFonts w:hint="eastAsia" w:ascii="宋体" w:hAnsi="宋体"/>
          <w:color w:val="auto"/>
          <w:sz w:val="24"/>
        </w:rPr>
        <w:t>勘查兴宁市守元矿业有限公司军营高岭土矿分公司扩建年产5万吨高岭土露天开采项目</w:t>
      </w:r>
      <w:r>
        <w:rPr>
          <w:rFonts w:ascii="宋体" w:hAnsi="宋体"/>
          <w:color w:val="auto"/>
          <w:sz w:val="24"/>
        </w:rPr>
        <w:t>的现场，阅看提供的有关资料，并通过对该项目可能存在的危险、有害因素的分析评价，现作出以下评价结论：</w:t>
      </w:r>
    </w:p>
    <w:p>
      <w:pPr>
        <w:pStyle w:val="4"/>
        <w:keepLines w:val="0"/>
        <w:widowControl/>
        <w:spacing w:before="120" w:after="120" w:line="500" w:lineRule="exact"/>
        <w:rPr>
          <w:rFonts w:ascii="宋体" w:hAnsi="宋体" w:eastAsia="宋体"/>
          <w:b/>
          <w:bCs w:val="0"/>
          <w:color w:val="auto"/>
          <w:kern w:val="28"/>
          <w:sz w:val="28"/>
          <w:szCs w:val="28"/>
        </w:rPr>
      </w:pPr>
      <w:bookmarkStart w:id="336" w:name="_Toc193792649"/>
      <w:bookmarkStart w:id="337" w:name="_Toc194481428"/>
      <w:bookmarkStart w:id="338" w:name="_Toc193792540"/>
      <w:bookmarkStart w:id="339" w:name="_Toc233881452"/>
      <w:bookmarkStart w:id="340" w:name="_Toc194551720"/>
      <w:bookmarkStart w:id="341" w:name="_Toc229928362"/>
      <w:bookmarkStart w:id="342" w:name="_Toc150262790"/>
      <w:r>
        <w:rPr>
          <w:rFonts w:hint="eastAsia" w:ascii="宋体" w:hAnsi="宋体" w:eastAsia="宋体"/>
          <w:b/>
          <w:bCs w:val="0"/>
          <w:color w:val="auto"/>
          <w:kern w:val="28"/>
          <w:sz w:val="28"/>
          <w:szCs w:val="28"/>
        </w:rPr>
        <w:t>5.1主要危险、有害因素及</w:t>
      </w:r>
      <w:bookmarkEnd w:id="336"/>
      <w:bookmarkEnd w:id="337"/>
      <w:bookmarkEnd w:id="338"/>
      <w:bookmarkEnd w:id="339"/>
      <w:bookmarkEnd w:id="340"/>
      <w:bookmarkEnd w:id="341"/>
      <w:r>
        <w:rPr>
          <w:rFonts w:hint="eastAsia" w:ascii="宋体" w:hAnsi="宋体" w:eastAsia="宋体"/>
          <w:b/>
          <w:bCs w:val="0"/>
          <w:color w:val="auto"/>
          <w:kern w:val="28"/>
          <w:sz w:val="28"/>
          <w:szCs w:val="28"/>
        </w:rPr>
        <w:t>应重点防范的重大危险有害因素</w:t>
      </w:r>
      <w:bookmarkEnd w:id="342"/>
    </w:p>
    <w:p>
      <w:pPr>
        <w:widowControl/>
        <w:spacing w:line="500" w:lineRule="exact"/>
        <w:ind w:firstLine="480" w:firstLineChars="200"/>
        <w:rPr>
          <w:rFonts w:ascii="宋体" w:hAnsi="宋体"/>
          <w:color w:val="auto"/>
          <w:sz w:val="24"/>
        </w:rPr>
      </w:pPr>
      <w:r>
        <w:rPr>
          <w:rFonts w:hint="eastAsia" w:ascii="宋体" w:hAnsi="宋体"/>
          <w:color w:val="auto"/>
          <w:sz w:val="24"/>
        </w:rPr>
        <w:t>1）主要危险、有害因素</w:t>
      </w:r>
    </w:p>
    <w:p>
      <w:pPr>
        <w:widowControl/>
        <w:spacing w:line="500" w:lineRule="exact"/>
        <w:ind w:firstLine="480" w:firstLineChars="200"/>
        <w:rPr>
          <w:rFonts w:ascii="宋体" w:hAnsi="宋体"/>
          <w:color w:val="auto"/>
          <w:sz w:val="24"/>
        </w:rPr>
      </w:pPr>
      <w:r>
        <w:rPr>
          <w:rFonts w:hint="eastAsia" w:ascii="宋体" w:hAnsi="宋体"/>
          <w:color w:val="auto"/>
          <w:sz w:val="24"/>
        </w:rPr>
        <w:t>矿山运行过程中潜在的危险有害因素有：坍塌滑坡、</w:t>
      </w:r>
      <w:r>
        <w:rPr>
          <w:rFonts w:ascii="宋体" w:hAnsi="宋体"/>
          <w:color w:val="auto"/>
          <w:sz w:val="24"/>
        </w:rPr>
        <w:t>物体打击</w:t>
      </w:r>
      <w:r>
        <w:rPr>
          <w:rFonts w:hint="eastAsia" w:ascii="宋体" w:hAnsi="宋体"/>
          <w:color w:val="auto"/>
          <w:sz w:val="24"/>
        </w:rPr>
        <w:t>、</w:t>
      </w:r>
      <w:r>
        <w:rPr>
          <w:rFonts w:ascii="宋体" w:hAnsi="宋体"/>
          <w:color w:val="auto"/>
          <w:sz w:val="24"/>
        </w:rPr>
        <w:t>高处坠落</w:t>
      </w:r>
      <w:r>
        <w:rPr>
          <w:rFonts w:hint="eastAsia" w:ascii="宋体" w:hAnsi="宋体"/>
          <w:color w:val="auto"/>
          <w:sz w:val="24"/>
        </w:rPr>
        <w:t>、</w:t>
      </w:r>
      <w:r>
        <w:rPr>
          <w:rFonts w:ascii="宋体" w:hAnsi="宋体"/>
          <w:color w:val="auto"/>
          <w:sz w:val="24"/>
        </w:rPr>
        <w:t>车辆伤害</w:t>
      </w:r>
      <w:r>
        <w:rPr>
          <w:rFonts w:hint="eastAsia" w:ascii="宋体" w:hAnsi="宋体"/>
          <w:color w:val="auto"/>
          <w:sz w:val="24"/>
        </w:rPr>
        <w:t>、</w:t>
      </w:r>
      <w:r>
        <w:rPr>
          <w:rFonts w:ascii="宋体" w:hAnsi="宋体"/>
          <w:color w:val="auto"/>
          <w:sz w:val="24"/>
        </w:rPr>
        <w:t>机械伤害</w:t>
      </w:r>
      <w:r>
        <w:rPr>
          <w:rFonts w:hint="eastAsia" w:ascii="宋体" w:hAnsi="宋体"/>
          <w:color w:val="auto"/>
          <w:sz w:val="24"/>
        </w:rPr>
        <w:t>、触电、</w:t>
      </w:r>
      <w:r>
        <w:rPr>
          <w:rFonts w:ascii="宋体" w:hAnsi="宋体"/>
          <w:color w:val="auto"/>
          <w:sz w:val="24"/>
        </w:rPr>
        <w:t>火灾</w:t>
      </w:r>
      <w:r>
        <w:rPr>
          <w:rFonts w:hint="eastAsia" w:ascii="宋体" w:hAnsi="宋体"/>
          <w:color w:val="auto"/>
          <w:sz w:val="24"/>
        </w:rPr>
        <w:t>、粉尘、噪声、振动、高温中暑</w:t>
      </w:r>
      <w:r>
        <w:rPr>
          <w:rFonts w:ascii="宋体" w:hAnsi="宋体"/>
          <w:color w:val="auto"/>
          <w:sz w:val="24"/>
        </w:rPr>
        <w:t>、</w:t>
      </w:r>
      <w:r>
        <w:rPr>
          <w:rFonts w:hint="eastAsia" w:ascii="宋体" w:hAnsi="宋体"/>
          <w:color w:val="auto"/>
          <w:sz w:val="24"/>
        </w:rPr>
        <w:t>辐射等。</w:t>
      </w:r>
    </w:p>
    <w:p>
      <w:pPr>
        <w:widowControl/>
        <w:spacing w:line="500" w:lineRule="exact"/>
        <w:ind w:firstLine="480" w:firstLineChars="200"/>
        <w:rPr>
          <w:rFonts w:ascii="宋体" w:hAnsi="宋体"/>
          <w:color w:val="auto"/>
          <w:sz w:val="24"/>
        </w:rPr>
      </w:pPr>
      <w:r>
        <w:rPr>
          <w:rFonts w:hint="eastAsia" w:ascii="宋体" w:hAnsi="宋体"/>
          <w:color w:val="auto"/>
          <w:sz w:val="24"/>
        </w:rPr>
        <w:t>2）应重点防范的危险有害因素</w:t>
      </w:r>
    </w:p>
    <w:p>
      <w:pPr>
        <w:widowControl/>
        <w:spacing w:line="500" w:lineRule="exact"/>
        <w:ind w:firstLine="456" w:firstLineChars="200"/>
        <w:rPr>
          <w:rFonts w:ascii="宋体" w:hAnsi="宋体"/>
          <w:color w:val="auto"/>
          <w:sz w:val="24"/>
        </w:rPr>
      </w:pPr>
      <w:r>
        <w:rPr>
          <w:rFonts w:hint="eastAsia" w:ascii="宋体" w:hAnsi="宋体"/>
          <w:color w:val="auto"/>
          <w:spacing w:val="-6"/>
          <w:sz w:val="24"/>
        </w:rPr>
        <w:t>矿山应重点防范的危险有害因素：坍塌滑坡、粉尘、高处坠落、车辆伤害、物体打击。</w:t>
      </w:r>
    </w:p>
    <w:p>
      <w:pPr>
        <w:pStyle w:val="4"/>
        <w:keepLines w:val="0"/>
        <w:widowControl/>
        <w:spacing w:before="120" w:after="120" w:line="500" w:lineRule="exact"/>
        <w:rPr>
          <w:rFonts w:ascii="宋体" w:hAnsi="宋体" w:eastAsia="宋体"/>
          <w:b/>
          <w:bCs w:val="0"/>
          <w:color w:val="auto"/>
          <w:kern w:val="28"/>
          <w:sz w:val="28"/>
          <w:szCs w:val="28"/>
        </w:rPr>
      </w:pPr>
      <w:bookmarkStart w:id="343" w:name="_Toc193792542"/>
      <w:bookmarkStart w:id="344" w:name="_Toc194481430"/>
      <w:bookmarkStart w:id="345" w:name="_Toc193792651"/>
      <w:bookmarkStart w:id="346" w:name="_Toc233881454"/>
      <w:bookmarkStart w:id="347" w:name="_Toc194551722"/>
      <w:bookmarkStart w:id="348" w:name="_Toc150262791"/>
      <w:r>
        <w:rPr>
          <w:rFonts w:hint="eastAsia" w:ascii="宋体" w:hAnsi="宋体" w:eastAsia="宋体"/>
          <w:b/>
          <w:bCs w:val="0"/>
          <w:color w:val="auto"/>
          <w:kern w:val="28"/>
          <w:sz w:val="28"/>
          <w:szCs w:val="28"/>
        </w:rPr>
        <w:t>5.2应重视的安全对策措施</w:t>
      </w:r>
      <w:bookmarkEnd w:id="343"/>
      <w:bookmarkEnd w:id="344"/>
      <w:bookmarkEnd w:id="345"/>
      <w:bookmarkEnd w:id="346"/>
      <w:bookmarkEnd w:id="347"/>
      <w:r>
        <w:rPr>
          <w:rFonts w:hint="eastAsia" w:ascii="宋体" w:hAnsi="宋体" w:eastAsia="宋体"/>
          <w:b/>
          <w:bCs w:val="0"/>
          <w:color w:val="auto"/>
          <w:kern w:val="28"/>
          <w:sz w:val="28"/>
          <w:szCs w:val="28"/>
        </w:rPr>
        <w:t>建议</w:t>
      </w:r>
      <w:bookmarkEnd w:id="348"/>
    </w:p>
    <w:p>
      <w:pPr>
        <w:widowControl/>
        <w:spacing w:line="500" w:lineRule="exact"/>
        <w:ind w:firstLine="480" w:firstLineChars="200"/>
        <w:rPr>
          <w:rFonts w:ascii="宋体" w:hAnsi="宋体"/>
          <w:color w:val="auto"/>
          <w:sz w:val="24"/>
        </w:rPr>
      </w:pPr>
      <w:r>
        <w:rPr>
          <w:rFonts w:hint="eastAsia" w:ascii="宋体" w:hAnsi="宋体"/>
          <w:color w:val="auto"/>
          <w:sz w:val="24"/>
        </w:rPr>
        <w:t>1）建议下一步设计对排土场进行稳定性分析。</w:t>
      </w:r>
    </w:p>
    <w:p>
      <w:pPr>
        <w:widowControl/>
        <w:spacing w:line="500" w:lineRule="exact"/>
        <w:ind w:firstLine="480" w:firstLineChars="200"/>
        <w:rPr>
          <w:rFonts w:ascii="宋体" w:hAnsi="宋体"/>
          <w:color w:val="auto"/>
          <w:sz w:val="24"/>
        </w:rPr>
      </w:pPr>
      <w:r>
        <w:rPr>
          <w:rFonts w:ascii="宋体" w:hAnsi="宋体"/>
          <w:color w:val="auto"/>
          <w:sz w:val="24"/>
        </w:rPr>
        <w:t>2</w:t>
      </w:r>
      <w:r>
        <w:rPr>
          <w:rFonts w:hint="eastAsia" w:ascii="宋体" w:hAnsi="宋体"/>
          <w:color w:val="auto"/>
          <w:sz w:val="24"/>
        </w:rPr>
        <w:t>）严格按照设计的开采顺序开采，严禁掏采、滥采乱挖。加强边坡的监督、检查、管理和维护。</w:t>
      </w:r>
    </w:p>
    <w:p>
      <w:pPr>
        <w:widowControl/>
        <w:spacing w:line="500" w:lineRule="exact"/>
        <w:ind w:firstLine="480" w:firstLineChars="200"/>
        <w:rPr>
          <w:rFonts w:ascii="宋体" w:hAnsi="宋体"/>
          <w:color w:val="auto"/>
          <w:sz w:val="24"/>
        </w:rPr>
      </w:pPr>
      <w:r>
        <w:rPr>
          <w:rFonts w:hint="eastAsia" w:ascii="宋体" w:hAnsi="宋体"/>
          <w:color w:val="auto"/>
          <w:sz w:val="24"/>
        </w:rPr>
        <w:t>3）柴油属于危险化学品，企业应按《危险化学品安全管理条例》的相关要求，对柴油进行管理。</w:t>
      </w:r>
    </w:p>
    <w:p>
      <w:pPr>
        <w:pStyle w:val="4"/>
        <w:keepLines w:val="0"/>
        <w:widowControl/>
        <w:spacing w:before="120" w:after="120" w:line="500" w:lineRule="exact"/>
        <w:rPr>
          <w:rFonts w:ascii="宋体" w:hAnsi="宋体" w:eastAsia="宋体"/>
          <w:b/>
          <w:bCs w:val="0"/>
          <w:color w:val="auto"/>
          <w:kern w:val="28"/>
          <w:sz w:val="28"/>
          <w:szCs w:val="28"/>
        </w:rPr>
      </w:pPr>
      <w:bookmarkStart w:id="349" w:name="_Toc150262792"/>
      <w:bookmarkStart w:id="350" w:name="_Toc194551723"/>
      <w:bookmarkStart w:id="351" w:name="_Toc193792543"/>
      <w:bookmarkStart w:id="352" w:name="_Toc233881455"/>
      <w:bookmarkStart w:id="353" w:name="_Toc194481431"/>
      <w:bookmarkStart w:id="354" w:name="_Toc193792652"/>
      <w:r>
        <w:rPr>
          <w:rFonts w:hint="eastAsia" w:ascii="宋体" w:hAnsi="宋体" w:eastAsia="宋体"/>
          <w:b/>
          <w:bCs w:val="0"/>
          <w:color w:val="auto"/>
          <w:kern w:val="28"/>
          <w:sz w:val="28"/>
          <w:szCs w:val="28"/>
        </w:rPr>
        <w:t>5.3危险有害因素可控性及受控程度</w:t>
      </w:r>
      <w:bookmarkEnd w:id="349"/>
      <w:bookmarkEnd w:id="350"/>
      <w:bookmarkEnd w:id="351"/>
      <w:bookmarkEnd w:id="352"/>
      <w:bookmarkEnd w:id="353"/>
      <w:bookmarkEnd w:id="354"/>
    </w:p>
    <w:p>
      <w:pPr>
        <w:widowControl/>
        <w:spacing w:line="500" w:lineRule="exact"/>
        <w:ind w:firstLine="480" w:firstLineChars="200"/>
        <w:rPr>
          <w:rFonts w:ascii="宋体" w:hAnsi="宋体"/>
          <w:color w:val="auto"/>
          <w:sz w:val="24"/>
        </w:rPr>
      </w:pPr>
      <w:r>
        <w:rPr>
          <w:rFonts w:hint="eastAsia" w:ascii="宋体" w:hAnsi="宋体"/>
          <w:color w:val="auto"/>
          <w:sz w:val="24"/>
        </w:rPr>
        <w:t>通过落实安全对策措施保证安全投入，严格按安全设施设计和操作规程要求进行开采，加强管理，其危险、有害因素可得到有效控制，该项目安全风险可以控制到可接受的程度。</w:t>
      </w:r>
    </w:p>
    <w:p>
      <w:pPr>
        <w:pStyle w:val="4"/>
        <w:keepLines w:val="0"/>
        <w:widowControl/>
        <w:spacing w:before="120" w:after="120" w:line="500" w:lineRule="exact"/>
        <w:rPr>
          <w:rFonts w:ascii="宋体" w:hAnsi="宋体" w:eastAsia="宋体"/>
          <w:b/>
          <w:bCs w:val="0"/>
          <w:color w:val="auto"/>
          <w:kern w:val="28"/>
          <w:sz w:val="28"/>
          <w:szCs w:val="28"/>
        </w:rPr>
      </w:pPr>
      <w:bookmarkStart w:id="355" w:name="_Toc193792653"/>
      <w:bookmarkStart w:id="356" w:name="_Toc194481432"/>
      <w:bookmarkStart w:id="357" w:name="_Toc194551724"/>
      <w:bookmarkStart w:id="358" w:name="_Toc193792544"/>
      <w:bookmarkStart w:id="359" w:name="_Toc233881456"/>
      <w:bookmarkStart w:id="360" w:name="_Toc150262793"/>
      <w:r>
        <w:rPr>
          <w:rFonts w:hint="eastAsia" w:ascii="宋体" w:hAnsi="宋体" w:eastAsia="宋体"/>
          <w:b/>
          <w:bCs w:val="0"/>
          <w:color w:val="auto"/>
          <w:kern w:val="28"/>
          <w:sz w:val="28"/>
          <w:szCs w:val="28"/>
        </w:rPr>
        <w:t>5.</w:t>
      </w:r>
      <w:bookmarkEnd w:id="355"/>
      <w:bookmarkEnd w:id="356"/>
      <w:bookmarkEnd w:id="357"/>
      <w:bookmarkEnd w:id="358"/>
      <w:bookmarkEnd w:id="359"/>
      <w:r>
        <w:rPr>
          <w:rFonts w:hint="eastAsia" w:ascii="宋体" w:hAnsi="宋体" w:eastAsia="宋体"/>
          <w:b/>
          <w:bCs w:val="0"/>
          <w:color w:val="auto"/>
          <w:kern w:val="28"/>
          <w:sz w:val="28"/>
          <w:szCs w:val="28"/>
        </w:rPr>
        <w:t>4从安全生产角度是否符合国家有关法律、法规、标准和规范的要求</w:t>
      </w:r>
      <w:bookmarkEnd w:id="360"/>
    </w:p>
    <w:bookmarkEnd w:id="251"/>
    <w:p>
      <w:pPr>
        <w:widowControl/>
        <w:spacing w:line="500" w:lineRule="exact"/>
        <w:ind w:firstLine="482" w:firstLineChars="200"/>
        <w:rPr>
          <w:rFonts w:hint="eastAsia" w:ascii="宋体" w:hAnsi="宋体"/>
          <w:b/>
          <w:color w:val="auto"/>
          <w:sz w:val="24"/>
        </w:rPr>
      </w:pPr>
      <w:r>
        <w:rPr>
          <w:rFonts w:hint="eastAsia" w:ascii="宋体" w:hAnsi="宋体"/>
          <w:b/>
          <w:color w:val="auto"/>
          <w:sz w:val="24"/>
        </w:rPr>
        <w:t>针对该项目在今后生产中存在的危险、危害因素，在下一步进行的《安全设施设计》中应充分采纳《可行性研究报告》及《安全预评价报告》中提出的安全对策措施，严格遵守《金属非金属矿山安全规程》的要求，则兴宁市守元矿业有限公司军营高岭土矿分公司扩建年产5万吨高岭土露天开采项目可以满足安全生产法律、法规和技术规程、标准和规范的要求，风险处在可控范围。</w:t>
      </w:r>
    </w:p>
    <w:p>
      <w:pPr>
        <w:pStyle w:val="3"/>
        <w:widowControl/>
        <w:spacing w:before="120" w:after="120" w:line="500" w:lineRule="exact"/>
        <w:rPr>
          <w:rFonts w:ascii="宋体" w:hAnsi="宋体" w:eastAsia="宋体"/>
          <w:b/>
          <w:color w:val="auto"/>
          <w:kern w:val="30"/>
          <w:sz w:val="30"/>
          <w:szCs w:val="30"/>
        </w:rPr>
      </w:pPr>
      <w:r>
        <w:rPr>
          <w:rFonts w:ascii="宋体" w:hAnsi="宋体"/>
          <w:b/>
          <w:color w:val="auto"/>
          <w:sz w:val="24"/>
        </w:rPr>
        <w:br w:type="page"/>
      </w:r>
      <w:bookmarkStart w:id="361" w:name="_Toc150262794"/>
      <w:r>
        <w:rPr>
          <w:rFonts w:hint="eastAsia" w:ascii="宋体" w:hAnsi="宋体" w:eastAsia="宋体"/>
          <w:b/>
          <w:color w:val="auto"/>
          <w:kern w:val="30"/>
          <w:sz w:val="30"/>
          <w:szCs w:val="30"/>
        </w:rPr>
        <w:t>附件</w:t>
      </w:r>
      <w:bookmarkEnd w:id="361"/>
    </w:p>
    <w:p>
      <w:pPr>
        <w:widowControl/>
        <w:numPr>
          <w:ilvl w:val="0"/>
          <w:numId w:val="12"/>
        </w:numPr>
        <w:spacing w:line="500" w:lineRule="exact"/>
        <w:ind w:left="0" w:firstLine="480" w:firstLineChars="200"/>
        <w:rPr>
          <w:rFonts w:ascii="宋体" w:hAnsi="宋体"/>
          <w:color w:val="auto"/>
          <w:sz w:val="24"/>
        </w:rPr>
      </w:pPr>
      <w:r>
        <w:rPr>
          <w:rFonts w:hint="eastAsia" w:ascii="宋体" w:hAnsi="宋体"/>
          <w:color w:val="auto"/>
          <w:sz w:val="24"/>
        </w:rPr>
        <w:t>现场照片</w:t>
      </w:r>
    </w:p>
    <w:p>
      <w:pPr>
        <w:widowControl/>
        <w:numPr>
          <w:ilvl w:val="0"/>
          <w:numId w:val="12"/>
        </w:numPr>
        <w:spacing w:line="500" w:lineRule="exact"/>
        <w:ind w:left="0" w:firstLine="480" w:firstLineChars="200"/>
        <w:rPr>
          <w:rFonts w:ascii="宋体" w:hAnsi="宋体"/>
          <w:color w:val="auto"/>
          <w:sz w:val="24"/>
        </w:rPr>
      </w:pPr>
      <w:r>
        <w:rPr>
          <w:rFonts w:hint="eastAsia" w:ascii="宋体" w:hAnsi="宋体"/>
          <w:color w:val="auto"/>
          <w:sz w:val="24"/>
        </w:rPr>
        <w:t>安全预评价委托书</w:t>
      </w:r>
    </w:p>
    <w:p>
      <w:pPr>
        <w:widowControl/>
        <w:numPr>
          <w:ilvl w:val="0"/>
          <w:numId w:val="12"/>
        </w:numPr>
        <w:spacing w:line="500" w:lineRule="exact"/>
        <w:ind w:left="0" w:firstLine="480" w:firstLineChars="200"/>
        <w:rPr>
          <w:rFonts w:ascii="宋体" w:hAnsi="宋体"/>
          <w:color w:val="auto"/>
          <w:sz w:val="24"/>
        </w:rPr>
      </w:pPr>
      <w:r>
        <w:rPr>
          <w:rFonts w:hint="eastAsia" w:ascii="宋体" w:hAnsi="宋体"/>
          <w:color w:val="auto"/>
          <w:sz w:val="24"/>
        </w:rPr>
        <w:t>《</w:t>
      </w:r>
      <w:r>
        <w:rPr>
          <w:rFonts w:ascii="宋体" w:hAnsi="宋体"/>
          <w:color w:val="auto"/>
          <w:sz w:val="24"/>
        </w:rPr>
        <w:t>广东省企业投资项目备案证》</w:t>
      </w:r>
    </w:p>
    <w:p>
      <w:pPr>
        <w:widowControl/>
        <w:numPr>
          <w:ilvl w:val="0"/>
          <w:numId w:val="12"/>
        </w:numPr>
        <w:spacing w:line="500" w:lineRule="exact"/>
        <w:ind w:left="0" w:firstLine="480" w:firstLineChars="200"/>
        <w:rPr>
          <w:rFonts w:ascii="宋体" w:hAnsi="宋体"/>
          <w:color w:val="auto"/>
          <w:sz w:val="24"/>
        </w:rPr>
      </w:pPr>
      <w:r>
        <w:rPr>
          <w:rFonts w:hint="eastAsia" w:ascii="宋体" w:hAnsi="宋体"/>
          <w:color w:val="auto"/>
          <w:sz w:val="24"/>
        </w:rPr>
        <w:t>《营业执照》</w:t>
      </w:r>
    </w:p>
    <w:p>
      <w:pPr>
        <w:widowControl/>
        <w:numPr>
          <w:ilvl w:val="0"/>
          <w:numId w:val="12"/>
        </w:numPr>
        <w:spacing w:line="500" w:lineRule="exact"/>
        <w:ind w:left="0" w:firstLine="480" w:firstLineChars="200"/>
        <w:rPr>
          <w:rFonts w:ascii="宋体" w:hAnsi="宋体"/>
          <w:color w:val="auto"/>
          <w:sz w:val="24"/>
        </w:rPr>
      </w:pPr>
      <w:r>
        <w:rPr>
          <w:rFonts w:hint="eastAsia" w:ascii="宋体" w:hAnsi="宋体"/>
          <w:color w:val="auto"/>
          <w:sz w:val="24"/>
        </w:rPr>
        <w:t>《采矿许可证》</w:t>
      </w:r>
    </w:p>
    <w:p>
      <w:pPr>
        <w:widowControl/>
        <w:numPr>
          <w:ilvl w:val="0"/>
          <w:numId w:val="12"/>
        </w:numPr>
        <w:spacing w:line="500" w:lineRule="exact"/>
        <w:ind w:left="0" w:firstLine="480" w:firstLineChars="200"/>
        <w:rPr>
          <w:rFonts w:ascii="宋体" w:hAnsi="宋体"/>
          <w:color w:val="auto"/>
          <w:sz w:val="24"/>
        </w:rPr>
      </w:pPr>
      <w:r>
        <w:rPr>
          <w:rFonts w:hint="eastAsia" w:ascii="宋体" w:hAnsi="宋体"/>
          <w:color w:val="auto"/>
          <w:sz w:val="24"/>
        </w:rPr>
        <w:t>附图</w:t>
      </w:r>
    </w:p>
    <w:p>
      <w:pPr>
        <w:widowControl/>
        <w:spacing w:line="500" w:lineRule="exact"/>
        <w:ind w:firstLine="480" w:firstLineChars="200"/>
        <w:rPr>
          <w:rFonts w:ascii="宋体" w:hAnsi="宋体"/>
          <w:color w:val="auto"/>
          <w:sz w:val="24"/>
        </w:rPr>
      </w:pPr>
    </w:p>
    <w:sectPr>
      <w:pgSz w:w="11906" w:h="16838"/>
      <w:pgMar w:top="1134" w:right="1134" w:bottom="1418" w:left="1588" w:header="851" w:footer="992" w:gutter="0"/>
      <w:pgBorders>
        <w:top w:val="none" w:sz="0" w:space="0"/>
        <w:left w:val="none" w:sz="0" w:space="0"/>
        <w:bottom w:val="none" w:sz="0" w:space="0"/>
        <w:right w:val="none" w:sz="0" w:space="0"/>
      </w:pgBorders>
      <w:pgNumType w:fmt="decimal"/>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仿宋体">
    <w:altName w:val="宋体"/>
    <w:panose1 w:val="020B0604020202020204"/>
    <w:charset w:val="86"/>
    <w:family w:val="swiss"/>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widowControl w:val="0"/>
      <w:pBdr>
        <w:top w:val="single" w:color="auto" w:sz="4" w:space="1"/>
        <w:left w:val="none" w:color="auto" w:sz="0" w:space="4"/>
        <w:bottom w:val="none" w:color="auto" w:sz="0" w:space="1"/>
        <w:right w:val="none" w:color="auto" w:sz="0" w:space="4"/>
        <w:between w:val="none" w:color="auto" w:sz="0" w:space="0"/>
      </w:pBdr>
      <w:tabs>
        <w:tab w:val="left" w:pos="5115"/>
        <w:tab w:val="clear" w:pos="4153"/>
        <w:tab w:val="clear" w:pos="8306"/>
      </w:tabs>
      <w:snapToGrid w:val="0"/>
      <w:ind w:right="32" w:rightChars="0"/>
      <w:jc w:val="both"/>
      <w:rPr>
        <w:rFonts w:hint="default" w:eastAsia="宋体"/>
        <w:lang w:val="en-US"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27"/>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val="en-US" w:eastAsia="zh-CN"/>
      </w:rPr>
      <w:t>江西赣安安全生产科学技术咨询服务中心                                                 APJ-（赣）-002</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rap="around" w:vAnchor="text" w:hAnchor="margin" w:xAlign="center" w:y="1"/>
      <w:rPr>
        <w:rStyle w:val="45"/>
      </w:rPr>
    </w:pPr>
    <w:r>
      <w:rPr>
        <w:rStyle w:val="45"/>
      </w:rPr>
      <w:fldChar w:fldCharType="begin"/>
    </w:r>
    <w:r>
      <w:rPr>
        <w:rStyle w:val="45"/>
      </w:rPr>
      <w:instrText xml:space="preserve">PAGE  </w:instrText>
    </w:r>
    <w:r>
      <w:rPr>
        <w:rStyle w:val="45"/>
      </w:rPr>
      <w:fldChar w:fldCharType="end"/>
    </w:r>
  </w:p>
  <w:p>
    <w:pPr>
      <w:pStyle w:val="2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7"/>
                          </w:pPr>
                          <w:r>
                            <w:fldChar w:fldCharType="begin"/>
                          </w:r>
                          <w:r>
                            <w:instrText xml:space="preserve"> PAGE  \* MERGEFORMAT </w:instrText>
                          </w:r>
                          <w:r>
                            <w:fldChar w:fldCharType="separate"/>
                          </w:r>
                          <w:r>
                            <w:t>I</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pPr>
                      <w:pStyle w:val="27"/>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framePr w:wrap="around" w:vAnchor="text" w:hAnchor="margin" w:xAlign="center" w:y="1"/>
      <w:rPr>
        <w:rStyle w:val="45"/>
      </w:rPr>
    </w:pPr>
    <w:r>
      <w:rPr>
        <w:rStyle w:val="45"/>
      </w:rPr>
      <w:fldChar w:fldCharType="begin"/>
    </w:r>
    <w:r>
      <w:rPr>
        <w:rStyle w:val="45"/>
      </w:rPr>
      <w:instrText xml:space="preserve">PAGE  </w:instrText>
    </w:r>
    <w:r>
      <w:rPr>
        <w:rStyle w:val="45"/>
      </w:rPr>
      <w:fldChar w:fldCharType="end"/>
    </w:r>
  </w:p>
  <w:p>
    <w:pPr>
      <w:pStyle w:val="2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widowControl w:val="0"/>
      <w:pBdr>
        <w:top w:val="single" w:color="auto" w:sz="4" w:space="1"/>
        <w:left w:val="none" w:color="auto" w:sz="0" w:space="4"/>
        <w:bottom w:val="none" w:color="auto" w:sz="0" w:space="1"/>
        <w:right w:val="none" w:color="auto" w:sz="0" w:space="4"/>
        <w:between w:val="none" w:color="auto" w:sz="0" w:space="0"/>
      </w:pBdr>
      <w:tabs>
        <w:tab w:val="left" w:pos="5115"/>
        <w:tab w:val="clear" w:pos="4153"/>
        <w:tab w:val="clear" w:pos="8306"/>
      </w:tabs>
      <w:snapToGrid w:val="0"/>
      <w:ind w:right="32" w:rightChars="0"/>
      <w:jc w:val="both"/>
      <w:rPr>
        <w:rFonts w:hint="default" w:eastAsia="宋体"/>
        <w:lang w:val="en-US" w:eastAsia="zh-CN"/>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27"/>
                    </w:pPr>
                    <w:r>
                      <w:fldChar w:fldCharType="begin"/>
                    </w:r>
                    <w:r>
                      <w:instrText xml:space="preserve"> PAGE  \* MERGEFORMAT </w:instrText>
                    </w:r>
                    <w:r>
                      <w:fldChar w:fldCharType="separate"/>
                    </w:r>
                    <w:r>
                      <w:t>1</w:t>
                    </w:r>
                    <w:r>
                      <w:fldChar w:fldCharType="end"/>
                    </w:r>
                  </w:p>
                </w:txbxContent>
              </v:textbox>
            </v:shape>
          </w:pict>
        </mc:Fallback>
      </mc:AlternateContent>
    </w:r>
    <w:r>
      <w:rPr>
        <w:rFonts w:hint="eastAsia"/>
        <w:lang w:val="en-US" w:eastAsia="zh-CN"/>
      </w:rPr>
      <w:t>江西赣安安全生产科学技术咨询服务中心                                                   APJ-（赣）-002</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widowControl w:val="0"/>
      <w:pBdr>
        <w:top w:val="none" w:color="auto" w:sz="0" w:space="1"/>
        <w:left w:val="none" w:color="auto" w:sz="0" w:space="4"/>
        <w:bottom w:val="single" w:color="auto" w:sz="4" w:space="1"/>
        <w:right w:val="none" w:color="auto" w:sz="0" w:space="4"/>
        <w:between w:val="none" w:color="auto" w:sz="0" w:space="0"/>
      </w:pBdr>
      <w:snapToGrid w:val="0"/>
      <w:spacing w:line="100" w:lineRule="atLeast"/>
      <w:jc w:val="left"/>
      <w:rPr>
        <w:rFonts w:hint="default" w:eastAsia="宋体"/>
        <w:lang w:val="en-US" w:eastAsia="zh-CN"/>
      </w:rPr>
    </w:pPr>
    <w:r>
      <w:rPr>
        <w:rFonts w:hint="eastAsia" w:ascii="宋体" w:hAnsi="宋体"/>
        <w:b w:val="0"/>
        <w:bCs/>
        <w:spacing w:val="-6"/>
        <w:sz w:val="18"/>
        <w:szCs w:val="18"/>
      </w:rPr>
      <w:t>兴宁市守元矿业有限公司军营高岭土矿分公司扩建年产5万吨高岭土露天开采项目</w:t>
    </w:r>
    <w:r>
      <w:rPr>
        <w:rFonts w:hint="eastAsia" w:ascii="宋体" w:hAnsi="宋体"/>
        <w:b w:val="0"/>
        <w:bCs/>
        <w:spacing w:val="-6"/>
        <w:kern w:val="10"/>
        <w:sz w:val="18"/>
        <w:szCs w:val="18"/>
      </w:rPr>
      <w:t>安全预评价报告</w:t>
    </w:r>
    <w:r>
      <w:rPr>
        <w:rFonts w:hint="eastAsia" w:ascii="宋体" w:hAnsi="宋体"/>
        <w:b w:val="0"/>
        <w:bCs/>
        <w:spacing w:val="-6"/>
        <w:kern w:val="10"/>
        <w:sz w:val="18"/>
        <w:szCs w:val="18"/>
        <w:lang w:val="en-US" w:eastAsia="zh-CN"/>
      </w:rPr>
      <w:t xml:space="preserve">     GAAP[2023]0588号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DE189E"/>
    <w:multiLevelType w:val="multilevel"/>
    <w:tmpl w:val="24DE189E"/>
    <w:lvl w:ilvl="0" w:tentative="0">
      <w:start w:val="1"/>
      <w:numFmt w:val="decimal"/>
      <w:suff w:val="nothing"/>
      <w:lvlText w:val="%1）"/>
      <w:lvlJc w:val="left"/>
      <w:pPr>
        <w:ind w:left="0" w:firstLine="454"/>
      </w:pPr>
      <w:rPr>
        <w:rFonts w:hint="default"/>
      </w:rPr>
    </w:lvl>
    <w:lvl w:ilvl="1" w:tentative="0">
      <w:start w:val="1"/>
      <w:numFmt w:val="lowerLetter"/>
      <w:lvlText w:val="%2)"/>
      <w:lvlJc w:val="left"/>
      <w:pPr>
        <w:ind w:left="1266" w:hanging="420"/>
      </w:pPr>
      <w:rPr>
        <w:rFonts w:hint="eastAsia"/>
      </w:rPr>
    </w:lvl>
    <w:lvl w:ilvl="2" w:tentative="0">
      <w:start w:val="1"/>
      <w:numFmt w:val="lowerRoman"/>
      <w:lvlText w:val="%3."/>
      <w:lvlJc w:val="right"/>
      <w:pPr>
        <w:ind w:left="1686" w:hanging="420"/>
      </w:pPr>
      <w:rPr>
        <w:rFonts w:hint="eastAsia"/>
      </w:rPr>
    </w:lvl>
    <w:lvl w:ilvl="3" w:tentative="0">
      <w:start w:val="1"/>
      <w:numFmt w:val="decimal"/>
      <w:lvlText w:val="%4."/>
      <w:lvlJc w:val="left"/>
      <w:pPr>
        <w:ind w:left="2106" w:hanging="420"/>
      </w:pPr>
      <w:rPr>
        <w:rFonts w:hint="eastAsia"/>
      </w:rPr>
    </w:lvl>
    <w:lvl w:ilvl="4" w:tentative="0">
      <w:start w:val="1"/>
      <w:numFmt w:val="lowerLetter"/>
      <w:lvlText w:val="%5)"/>
      <w:lvlJc w:val="left"/>
      <w:pPr>
        <w:ind w:left="2526" w:hanging="420"/>
      </w:pPr>
      <w:rPr>
        <w:rFonts w:hint="eastAsia"/>
      </w:rPr>
    </w:lvl>
    <w:lvl w:ilvl="5" w:tentative="0">
      <w:start w:val="1"/>
      <w:numFmt w:val="lowerRoman"/>
      <w:lvlText w:val="%6."/>
      <w:lvlJc w:val="right"/>
      <w:pPr>
        <w:ind w:left="2946" w:hanging="420"/>
      </w:pPr>
      <w:rPr>
        <w:rFonts w:hint="eastAsia"/>
      </w:rPr>
    </w:lvl>
    <w:lvl w:ilvl="6" w:tentative="0">
      <w:start w:val="1"/>
      <w:numFmt w:val="decimal"/>
      <w:lvlText w:val="%7."/>
      <w:lvlJc w:val="left"/>
      <w:pPr>
        <w:ind w:left="3366" w:hanging="420"/>
      </w:pPr>
      <w:rPr>
        <w:rFonts w:hint="eastAsia"/>
      </w:rPr>
    </w:lvl>
    <w:lvl w:ilvl="7" w:tentative="0">
      <w:start w:val="1"/>
      <w:numFmt w:val="lowerLetter"/>
      <w:lvlText w:val="%8)"/>
      <w:lvlJc w:val="left"/>
      <w:pPr>
        <w:ind w:left="3786" w:hanging="420"/>
      </w:pPr>
      <w:rPr>
        <w:rFonts w:hint="eastAsia"/>
      </w:rPr>
    </w:lvl>
    <w:lvl w:ilvl="8" w:tentative="0">
      <w:start w:val="1"/>
      <w:numFmt w:val="lowerRoman"/>
      <w:lvlText w:val="%9."/>
      <w:lvlJc w:val="right"/>
      <w:pPr>
        <w:ind w:left="4206" w:hanging="420"/>
      </w:pPr>
      <w:rPr>
        <w:rFonts w:hint="eastAsia"/>
      </w:rPr>
    </w:lvl>
  </w:abstractNum>
  <w:abstractNum w:abstractNumId="1">
    <w:nsid w:val="2E610B84"/>
    <w:multiLevelType w:val="multilevel"/>
    <w:tmpl w:val="2E610B84"/>
    <w:lvl w:ilvl="0" w:tentative="0">
      <w:start w:val="1"/>
      <w:numFmt w:val="decimal"/>
      <w:suff w:val="nothing"/>
      <w:lvlText w:val="%1）"/>
      <w:lvlJc w:val="left"/>
      <w:pPr>
        <w:ind w:left="0" w:firstLine="454"/>
      </w:pPr>
      <w:rPr>
        <w:rFonts w:hint="default"/>
      </w:rPr>
    </w:lvl>
    <w:lvl w:ilvl="1" w:tentative="0">
      <w:start w:val="1"/>
      <w:numFmt w:val="lowerLetter"/>
      <w:lvlText w:val="%2)"/>
      <w:lvlJc w:val="left"/>
      <w:pPr>
        <w:ind w:left="1266" w:hanging="420"/>
      </w:pPr>
      <w:rPr>
        <w:rFonts w:hint="eastAsia"/>
      </w:rPr>
    </w:lvl>
    <w:lvl w:ilvl="2" w:tentative="0">
      <w:start w:val="1"/>
      <w:numFmt w:val="lowerRoman"/>
      <w:lvlText w:val="%3."/>
      <w:lvlJc w:val="right"/>
      <w:pPr>
        <w:ind w:left="1686" w:hanging="420"/>
      </w:pPr>
      <w:rPr>
        <w:rFonts w:hint="eastAsia"/>
      </w:rPr>
    </w:lvl>
    <w:lvl w:ilvl="3" w:tentative="0">
      <w:start w:val="1"/>
      <w:numFmt w:val="decimal"/>
      <w:lvlText w:val="%4."/>
      <w:lvlJc w:val="left"/>
      <w:pPr>
        <w:ind w:left="2106" w:hanging="420"/>
      </w:pPr>
      <w:rPr>
        <w:rFonts w:hint="eastAsia"/>
      </w:rPr>
    </w:lvl>
    <w:lvl w:ilvl="4" w:tentative="0">
      <w:start w:val="1"/>
      <w:numFmt w:val="lowerLetter"/>
      <w:lvlText w:val="%5)"/>
      <w:lvlJc w:val="left"/>
      <w:pPr>
        <w:ind w:left="2526" w:hanging="420"/>
      </w:pPr>
      <w:rPr>
        <w:rFonts w:hint="eastAsia"/>
      </w:rPr>
    </w:lvl>
    <w:lvl w:ilvl="5" w:tentative="0">
      <w:start w:val="1"/>
      <w:numFmt w:val="lowerRoman"/>
      <w:lvlText w:val="%6."/>
      <w:lvlJc w:val="right"/>
      <w:pPr>
        <w:ind w:left="2946" w:hanging="420"/>
      </w:pPr>
      <w:rPr>
        <w:rFonts w:hint="eastAsia"/>
      </w:rPr>
    </w:lvl>
    <w:lvl w:ilvl="6" w:tentative="0">
      <w:start w:val="1"/>
      <w:numFmt w:val="decimal"/>
      <w:lvlText w:val="%7."/>
      <w:lvlJc w:val="left"/>
      <w:pPr>
        <w:ind w:left="3366" w:hanging="420"/>
      </w:pPr>
      <w:rPr>
        <w:rFonts w:hint="eastAsia"/>
      </w:rPr>
    </w:lvl>
    <w:lvl w:ilvl="7" w:tentative="0">
      <w:start w:val="1"/>
      <w:numFmt w:val="lowerLetter"/>
      <w:lvlText w:val="%8)"/>
      <w:lvlJc w:val="left"/>
      <w:pPr>
        <w:ind w:left="3786" w:hanging="420"/>
      </w:pPr>
      <w:rPr>
        <w:rFonts w:hint="eastAsia"/>
      </w:rPr>
    </w:lvl>
    <w:lvl w:ilvl="8" w:tentative="0">
      <w:start w:val="1"/>
      <w:numFmt w:val="lowerRoman"/>
      <w:lvlText w:val="%9."/>
      <w:lvlJc w:val="right"/>
      <w:pPr>
        <w:ind w:left="4206" w:hanging="420"/>
      </w:pPr>
      <w:rPr>
        <w:rFonts w:hint="eastAsia"/>
      </w:rPr>
    </w:lvl>
  </w:abstractNum>
  <w:abstractNum w:abstractNumId="2">
    <w:nsid w:val="38D0478D"/>
    <w:multiLevelType w:val="multilevel"/>
    <w:tmpl w:val="38D0478D"/>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3">
    <w:nsid w:val="396C242A"/>
    <w:multiLevelType w:val="multilevel"/>
    <w:tmpl w:val="396C242A"/>
    <w:lvl w:ilvl="0" w:tentative="0">
      <w:start w:val="1"/>
      <w:numFmt w:val="decimal"/>
      <w:suff w:val="nothing"/>
      <w:lvlText w:val="%1）"/>
      <w:lvlJc w:val="left"/>
      <w:pPr>
        <w:ind w:left="0" w:firstLine="454"/>
      </w:pPr>
      <w:rPr>
        <w:rFonts w:hint="default"/>
      </w:rPr>
    </w:lvl>
    <w:lvl w:ilvl="1" w:tentative="0">
      <w:start w:val="1"/>
      <w:numFmt w:val="lowerLetter"/>
      <w:lvlText w:val="%2)"/>
      <w:lvlJc w:val="left"/>
      <w:pPr>
        <w:ind w:left="1266" w:hanging="420"/>
      </w:pPr>
      <w:rPr>
        <w:rFonts w:hint="eastAsia"/>
      </w:rPr>
    </w:lvl>
    <w:lvl w:ilvl="2" w:tentative="0">
      <w:start w:val="1"/>
      <w:numFmt w:val="lowerRoman"/>
      <w:lvlText w:val="%3."/>
      <w:lvlJc w:val="right"/>
      <w:pPr>
        <w:ind w:left="1686" w:hanging="420"/>
      </w:pPr>
      <w:rPr>
        <w:rFonts w:hint="eastAsia"/>
      </w:rPr>
    </w:lvl>
    <w:lvl w:ilvl="3" w:tentative="0">
      <w:start w:val="1"/>
      <w:numFmt w:val="decimal"/>
      <w:lvlText w:val="%4."/>
      <w:lvlJc w:val="left"/>
      <w:pPr>
        <w:ind w:left="2106" w:hanging="420"/>
      </w:pPr>
      <w:rPr>
        <w:rFonts w:hint="eastAsia"/>
      </w:rPr>
    </w:lvl>
    <w:lvl w:ilvl="4" w:tentative="0">
      <w:start w:val="1"/>
      <w:numFmt w:val="lowerLetter"/>
      <w:lvlText w:val="%5)"/>
      <w:lvlJc w:val="left"/>
      <w:pPr>
        <w:ind w:left="2526" w:hanging="420"/>
      </w:pPr>
      <w:rPr>
        <w:rFonts w:hint="eastAsia"/>
      </w:rPr>
    </w:lvl>
    <w:lvl w:ilvl="5" w:tentative="0">
      <w:start w:val="1"/>
      <w:numFmt w:val="lowerRoman"/>
      <w:lvlText w:val="%6."/>
      <w:lvlJc w:val="right"/>
      <w:pPr>
        <w:ind w:left="2946" w:hanging="420"/>
      </w:pPr>
      <w:rPr>
        <w:rFonts w:hint="eastAsia"/>
      </w:rPr>
    </w:lvl>
    <w:lvl w:ilvl="6" w:tentative="0">
      <w:start w:val="1"/>
      <w:numFmt w:val="decimal"/>
      <w:lvlText w:val="%7."/>
      <w:lvlJc w:val="left"/>
      <w:pPr>
        <w:ind w:left="3366" w:hanging="420"/>
      </w:pPr>
      <w:rPr>
        <w:rFonts w:hint="eastAsia"/>
      </w:rPr>
    </w:lvl>
    <w:lvl w:ilvl="7" w:tentative="0">
      <w:start w:val="1"/>
      <w:numFmt w:val="lowerLetter"/>
      <w:lvlText w:val="%8)"/>
      <w:lvlJc w:val="left"/>
      <w:pPr>
        <w:ind w:left="3786" w:hanging="420"/>
      </w:pPr>
      <w:rPr>
        <w:rFonts w:hint="eastAsia"/>
      </w:rPr>
    </w:lvl>
    <w:lvl w:ilvl="8" w:tentative="0">
      <w:start w:val="1"/>
      <w:numFmt w:val="lowerRoman"/>
      <w:lvlText w:val="%9."/>
      <w:lvlJc w:val="right"/>
      <w:pPr>
        <w:ind w:left="4206" w:hanging="420"/>
      </w:pPr>
      <w:rPr>
        <w:rFonts w:hint="eastAsia"/>
      </w:rPr>
    </w:lvl>
  </w:abstractNum>
  <w:abstractNum w:abstractNumId="4">
    <w:nsid w:val="3A2C64E4"/>
    <w:multiLevelType w:val="multilevel"/>
    <w:tmpl w:val="3A2C64E4"/>
    <w:lvl w:ilvl="0" w:tentative="0">
      <w:start w:val="1"/>
      <w:numFmt w:val="decimal"/>
      <w:suff w:val="nothing"/>
      <w:lvlText w:val="%1）"/>
      <w:lvlJc w:val="left"/>
      <w:pPr>
        <w:ind w:left="0" w:firstLine="454"/>
      </w:pPr>
      <w:rPr>
        <w:rFonts w:hint="default"/>
      </w:rPr>
    </w:lvl>
    <w:lvl w:ilvl="1" w:tentative="0">
      <w:start w:val="1"/>
      <w:numFmt w:val="lowerLetter"/>
      <w:lvlText w:val="%2)"/>
      <w:lvlJc w:val="left"/>
      <w:pPr>
        <w:ind w:left="1266" w:hanging="420"/>
      </w:pPr>
      <w:rPr>
        <w:rFonts w:hint="eastAsia"/>
      </w:rPr>
    </w:lvl>
    <w:lvl w:ilvl="2" w:tentative="0">
      <w:start w:val="1"/>
      <w:numFmt w:val="lowerRoman"/>
      <w:lvlText w:val="%3."/>
      <w:lvlJc w:val="right"/>
      <w:pPr>
        <w:ind w:left="1686" w:hanging="420"/>
      </w:pPr>
      <w:rPr>
        <w:rFonts w:hint="eastAsia"/>
      </w:rPr>
    </w:lvl>
    <w:lvl w:ilvl="3" w:tentative="0">
      <w:start w:val="1"/>
      <w:numFmt w:val="decimal"/>
      <w:lvlText w:val="%4."/>
      <w:lvlJc w:val="left"/>
      <w:pPr>
        <w:ind w:left="2106" w:hanging="420"/>
      </w:pPr>
      <w:rPr>
        <w:rFonts w:hint="eastAsia"/>
      </w:rPr>
    </w:lvl>
    <w:lvl w:ilvl="4" w:tentative="0">
      <w:start w:val="1"/>
      <w:numFmt w:val="lowerLetter"/>
      <w:lvlText w:val="%5)"/>
      <w:lvlJc w:val="left"/>
      <w:pPr>
        <w:ind w:left="2526" w:hanging="420"/>
      </w:pPr>
      <w:rPr>
        <w:rFonts w:hint="eastAsia"/>
      </w:rPr>
    </w:lvl>
    <w:lvl w:ilvl="5" w:tentative="0">
      <w:start w:val="1"/>
      <w:numFmt w:val="lowerRoman"/>
      <w:lvlText w:val="%6."/>
      <w:lvlJc w:val="right"/>
      <w:pPr>
        <w:ind w:left="2946" w:hanging="420"/>
      </w:pPr>
      <w:rPr>
        <w:rFonts w:hint="eastAsia"/>
      </w:rPr>
    </w:lvl>
    <w:lvl w:ilvl="6" w:tentative="0">
      <w:start w:val="1"/>
      <w:numFmt w:val="decimal"/>
      <w:lvlText w:val="%7."/>
      <w:lvlJc w:val="left"/>
      <w:pPr>
        <w:ind w:left="3366" w:hanging="420"/>
      </w:pPr>
      <w:rPr>
        <w:rFonts w:hint="eastAsia"/>
      </w:rPr>
    </w:lvl>
    <w:lvl w:ilvl="7" w:tentative="0">
      <w:start w:val="1"/>
      <w:numFmt w:val="lowerLetter"/>
      <w:lvlText w:val="%8)"/>
      <w:lvlJc w:val="left"/>
      <w:pPr>
        <w:ind w:left="3786" w:hanging="420"/>
      </w:pPr>
      <w:rPr>
        <w:rFonts w:hint="eastAsia"/>
      </w:rPr>
    </w:lvl>
    <w:lvl w:ilvl="8" w:tentative="0">
      <w:start w:val="1"/>
      <w:numFmt w:val="lowerRoman"/>
      <w:lvlText w:val="%9."/>
      <w:lvlJc w:val="right"/>
      <w:pPr>
        <w:ind w:left="4206" w:hanging="420"/>
      </w:pPr>
      <w:rPr>
        <w:rFonts w:hint="eastAsia"/>
      </w:rPr>
    </w:lvl>
  </w:abstractNum>
  <w:abstractNum w:abstractNumId="5">
    <w:nsid w:val="44CE9AAF"/>
    <w:multiLevelType w:val="multilevel"/>
    <w:tmpl w:val="44CE9AAF"/>
    <w:lvl w:ilvl="0" w:tentative="0">
      <w:start w:val="1"/>
      <w:numFmt w:val="decimal"/>
      <w:suff w:val="nothing"/>
      <w:lvlText w:val="%1）"/>
      <w:lvlJc w:val="left"/>
      <w:pPr>
        <w:ind w:left="0" w:firstLine="454"/>
      </w:pPr>
      <w:rPr>
        <w:rFonts w:hint="default"/>
      </w:rPr>
    </w:lvl>
    <w:lvl w:ilvl="1" w:tentative="0">
      <w:start w:val="1"/>
      <w:numFmt w:val="lowerLetter"/>
      <w:lvlText w:val="%2)"/>
      <w:lvlJc w:val="left"/>
      <w:pPr>
        <w:ind w:left="1266" w:hanging="420"/>
      </w:pPr>
      <w:rPr>
        <w:rFonts w:hint="eastAsia"/>
      </w:rPr>
    </w:lvl>
    <w:lvl w:ilvl="2" w:tentative="0">
      <w:start w:val="1"/>
      <w:numFmt w:val="lowerRoman"/>
      <w:lvlText w:val="%3."/>
      <w:lvlJc w:val="right"/>
      <w:pPr>
        <w:ind w:left="1686" w:hanging="420"/>
      </w:pPr>
      <w:rPr>
        <w:rFonts w:hint="eastAsia"/>
      </w:rPr>
    </w:lvl>
    <w:lvl w:ilvl="3" w:tentative="0">
      <w:start w:val="1"/>
      <w:numFmt w:val="decimal"/>
      <w:lvlText w:val="%4."/>
      <w:lvlJc w:val="left"/>
      <w:pPr>
        <w:ind w:left="2106" w:hanging="420"/>
      </w:pPr>
      <w:rPr>
        <w:rFonts w:hint="eastAsia"/>
      </w:rPr>
    </w:lvl>
    <w:lvl w:ilvl="4" w:tentative="0">
      <w:start w:val="1"/>
      <w:numFmt w:val="lowerLetter"/>
      <w:lvlText w:val="%5)"/>
      <w:lvlJc w:val="left"/>
      <w:pPr>
        <w:ind w:left="2526" w:hanging="420"/>
      </w:pPr>
      <w:rPr>
        <w:rFonts w:hint="eastAsia"/>
      </w:rPr>
    </w:lvl>
    <w:lvl w:ilvl="5" w:tentative="0">
      <w:start w:val="1"/>
      <w:numFmt w:val="lowerRoman"/>
      <w:lvlText w:val="%6."/>
      <w:lvlJc w:val="right"/>
      <w:pPr>
        <w:ind w:left="2946" w:hanging="420"/>
      </w:pPr>
      <w:rPr>
        <w:rFonts w:hint="eastAsia"/>
      </w:rPr>
    </w:lvl>
    <w:lvl w:ilvl="6" w:tentative="0">
      <w:start w:val="1"/>
      <w:numFmt w:val="decimal"/>
      <w:lvlText w:val="%7."/>
      <w:lvlJc w:val="left"/>
      <w:pPr>
        <w:ind w:left="3366" w:hanging="420"/>
      </w:pPr>
      <w:rPr>
        <w:rFonts w:hint="eastAsia"/>
      </w:rPr>
    </w:lvl>
    <w:lvl w:ilvl="7" w:tentative="0">
      <w:start w:val="1"/>
      <w:numFmt w:val="lowerLetter"/>
      <w:lvlText w:val="%8)"/>
      <w:lvlJc w:val="left"/>
      <w:pPr>
        <w:ind w:left="3786" w:hanging="420"/>
      </w:pPr>
      <w:rPr>
        <w:rFonts w:hint="eastAsia"/>
      </w:rPr>
    </w:lvl>
    <w:lvl w:ilvl="8" w:tentative="0">
      <w:start w:val="1"/>
      <w:numFmt w:val="lowerRoman"/>
      <w:lvlText w:val="%9."/>
      <w:lvlJc w:val="right"/>
      <w:pPr>
        <w:ind w:left="4206" w:hanging="420"/>
      </w:pPr>
      <w:rPr>
        <w:rFonts w:hint="eastAsia"/>
      </w:rPr>
    </w:lvl>
  </w:abstractNum>
  <w:abstractNum w:abstractNumId="6">
    <w:nsid w:val="451F6E9F"/>
    <w:multiLevelType w:val="multilevel"/>
    <w:tmpl w:val="451F6E9F"/>
    <w:lvl w:ilvl="0" w:tentative="0">
      <w:start w:val="1"/>
      <w:numFmt w:val="decimal"/>
      <w:suff w:val="nothing"/>
      <w:lvlText w:val="%1）"/>
      <w:lvlJc w:val="left"/>
      <w:pPr>
        <w:ind w:left="0" w:firstLine="454"/>
      </w:pPr>
      <w:rPr>
        <w:rFonts w:hint="default"/>
      </w:rPr>
    </w:lvl>
    <w:lvl w:ilvl="1" w:tentative="0">
      <w:start w:val="1"/>
      <w:numFmt w:val="lowerLetter"/>
      <w:lvlText w:val="%2)"/>
      <w:lvlJc w:val="left"/>
      <w:pPr>
        <w:ind w:left="1266" w:hanging="420"/>
      </w:pPr>
      <w:rPr>
        <w:rFonts w:hint="eastAsia"/>
      </w:rPr>
    </w:lvl>
    <w:lvl w:ilvl="2" w:tentative="0">
      <w:start w:val="1"/>
      <w:numFmt w:val="lowerRoman"/>
      <w:lvlText w:val="%3."/>
      <w:lvlJc w:val="right"/>
      <w:pPr>
        <w:ind w:left="1686" w:hanging="420"/>
      </w:pPr>
      <w:rPr>
        <w:rFonts w:hint="eastAsia"/>
      </w:rPr>
    </w:lvl>
    <w:lvl w:ilvl="3" w:tentative="0">
      <w:start w:val="1"/>
      <w:numFmt w:val="decimal"/>
      <w:lvlText w:val="%4."/>
      <w:lvlJc w:val="left"/>
      <w:pPr>
        <w:ind w:left="2106" w:hanging="420"/>
      </w:pPr>
      <w:rPr>
        <w:rFonts w:hint="eastAsia"/>
      </w:rPr>
    </w:lvl>
    <w:lvl w:ilvl="4" w:tentative="0">
      <w:start w:val="1"/>
      <w:numFmt w:val="lowerLetter"/>
      <w:lvlText w:val="%5)"/>
      <w:lvlJc w:val="left"/>
      <w:pPr>
        <w:ind w:left="2526" w:hanging="420"/>
      </w:pPr>
      <w:rPr>
        <w:rFonts w:hint="eastAsia"/>
      </w:rPr>
    </w:lvl>
    <w:lvl w:ilvl="5" w:tentative="0">
      <w:start w:val="1"/>
      <w:numFmt w:val="lowerRoman"/>
      <w:lvlText w:val="%6."/>
      <w:lvlJc w:val="right"/>
      <w:pPr>
        <w:ind w:left="2946" w:hanging="420"/>
      </w:pPr>
      <w:rPr>
        <w:rFonts w:hint="eastAsia"/>
      </w:rPr>
    </w:lvl>
    <w:lvl w:ilvl="6" w:tentative="0">
      <w:start w:val="1"/>
      <w:numFmt w:val="decimal"/>
      <w:lvlText w:val="%7."/>
      <w:lvlJc w:val="left"/>
      <w:pPr>
        <w:ind w:left="3366" w:hanging="420"/>
      </w:pPr>
      <w:rPr>
        <w:rFonts w:hint="eastAsia"/>
      </w:rPr>
    </w:lvl>
    <w:lvl w:ilvl="7" w:tentative="0">
      <w:start w:val="1"/>
      <w:numFmt w:val="lowerLetter"/>
      <w:lvlText w:val="%8)"/>
      <w:lvlJc w:val="left"/>
      <w:pPr>
        <w:ind w:left="3786" w:hanging="420"/>
      </w:pPr>
      <w:rPr>
        <w:rFonts w:hint="eastAsia"/>
      </w:rPr>
    </w:lvl>
    <w:lvl w:ilvl="8" w:tentative="0">
      <w:start w:val="1"/>
      <w:numFmt w:val="lowerRoman"/>
      <w:lvlText w:val="%9."/>
      <w:lvlJc w:val="right"/>
      <w:pPr>
        <w:ind w:left="4206" w:hanging="420"/>
      </w:pPr>
      <w:rPr>
        <w:rFonts w:hint="eastAsia"/>
      </w:rPr>
    </w:lvl>
  </w:abstractNum>
  <w:abstractNum w:abstractNumId="7">
    <w:nsid w:val="4B536EE5"/>
    <w:multiLevelType w:val="multilevel"/>
    <w:tmpl w:val="4B536EE5"/>
    <w:lvl w:ilvl="0" w:tentative="0">
      <w:start w:val="1"/>
      <w:numFmt w:val="decimal"/>
      <w:suff w:val="nothing"/>
      <w:lvlText w:val="%1）"/>
      <w:lvlJc w:val="left"/>
      <w:pPr>
        <w:ind w:left="0" w:firstLine="454"/>
      </w:pPr>
      <w:rPr>
        <w:rFonts w:hint="default"/>
        <w:b w:val="0"/>
        <w:bCs w:val="0"/>
      </w:rPr>
    </w:lvl>
    <w:lvl w:ilvl="1" w:tentative="0">
      <w:start w:val="1"/>
      <w:numFmt w:val="lowerLetter"/>
      <w:lvlText w:val="%2)"/>
      <w:lvlJc w:val="left"/>
      <w:pPr>
        <w:ind w:left="1266" w:hanging="420"/>
      </w:pPr>
      <w:rPr>
        <w:rFonts w:hint="eastAsia"/>
      </w:rPr>
    </w:lvl>
    <w:lvl w:ilvl="2" w:tentative="0">
      <w:start w:val="1"/>
      <w:numFmt w:val="lowerRoman"/>
      <w:lvlText w:val="%3."/>
      <w:lvlJc w:val="right"/>
      <w:pPr>
        <w:ind w:left="1686" w:hanging="420"/>
      </w:pPr>
      <w:rPr>
        <w:rFonts w:hint="eastAsia"/>
      </w:rPr>
    </w:lvl>
    <w:lvl w:ilvl="3" w:tentative="0">
      <w:start w:val="1"/>
      <w:numFmt w:val="decimal"/>
      <w:lvlText w:val="%4."/>
      <w:lvlJc w:val="left"/>
      <w:pPr>
        <w:ind w:left="2106" w:hanging="420"/>
      </w:pPr>
      <w:rPr>
        <w:rFonts w:hint="eastAsia"/>
      </w:rPr>
    </w:lvl>
    <w:lvl w:ilvl="4" w:tentative="0">
      <w:start w:val="1"/>
      <w:numFmt w:val="lowerLetter"/>
      <w:lvlText w:val="%5)"/>
      <w:lvlJc w:val="left"/>
      <w:pPr>
        <w:ind w:left="2526" w:hanging="420"/>
      </w:pPr>
      <w:rPr>
        <w:rFonts w:hint="eastAsia"/>
      </w:rPr>
    </w:lvl>
    <w:lvl w:ilvl="5" w:tentative="0">
      <w:start w:val="1"/>
      <w:numFmt w:val="lowerRoman"/>
      <w:lvlText w:val="%6."/>
      <w:lvlJc w:val="right"/>
      <w:pPr>
        <w:ind w:left="2946" w:hanging="420"/>
      </w:pPr>
      <w:rPr>
        <w:rFonts w:hint="eastAsia"/>
      </w:rPr>
    </w:lvl>
    <w:lvl w:ilvl="6" w:tentative="0">
      <w:start w:val="1"/>
      <w:numFmt w:val="decimal"/>
      <w:lvlText w:val="%7."/>
      <w:lvlJc w:val="left"/>
      <w:pPr>
        <w:ind w:left="3366" w:hanging="420"/>
      </w:pPr>
      <w:rPr>
        <w:rFonts w:hint="eastAsia"/>
      </w:rPr>
    </w:lvl>
    <w:lvl w:ilvl="7" w:tentative="0">
      <w:start w:val="1"/>
      <w:numFmt w:val="lowerLetter"/>
      <w:lvlText w:val="%8)"/>
      <w:lvlJc w:val="left"/>
      <w:pPr>
        <w:ind w:left="3786" w:hanging="420"/>
      </w:pPr>
      <w:rPr>
        <w:rFonts w:hint="eastAsia"/>
      </w:rPr>
    </w:lvl>
    <w:lvl w:ilvl="8" w:tentative="0">
      <w:start w:val="1"/>
      <w:numFmt w:val="lowerRoman"/>
      <w:lvlText w:val="%9."/>
      <w:lvlJc w:val="right"/>
      <w:pPr>
        <w:ind w:left="4206" w:hanging="420"/>
      </w:pPr>
      <w:rPr>
        <w:rFonts w:hint="eastAsia"/>
      </w:rPr>
    </w:lvl>
  </w:abstractNum>
  <w:abstractNum w:abstractNumId="8">
    <w:nsid w:val="61E73145"/>
    <w:multiLevelType w:val="multilevel"/>
    <w:tmpl w:val="61E73145"/>
    <w:lvl w:ilvl="0" w:tentative="0">
      <w:start w:val="1"/>
      <w:numFmt w:val="decimal"/>
      <w:suff w:val="nothing"/>
      <w:lvlText w:val="%1）"/>
      <w:lvlJc w:val="left"/>
      <w:pPr>
        <w:ind w:left="397" w:firstLine="454"/>
      </w:pPr>
      <w:rPr>
        <w:rFonts w:hint="default"/>
      </w:rPr>
    </w:lvl>
    <w:lvl w:ilvl="1" w:tentative="0">
      <w:start w:val="1"/>
      <w:numFmt w:val="lowerLetter"/>
      <w:lvlText w:val="%2)"/>
      <w:lvlJc w:val="left"/>
      <w:pPr>
        <w:ind w:left="1266" w:hanging="420"/>
      </w:pPr>
      <w:rPr>
        <w:rFonts w:hint="eastAsia"/>
      </w:rPr>
    </w:lvl>
    <w:lvl w:ilvl="2" w:tentative="0">
      <w:start w:val="1"/>
      <w:numFmt w:val="lowerRoman"/>
      <w:lvlText w:val="%3."/>
      <w:lvlJc w:val="right"/>
      <w:pPr>
        <w:ind w:left="1686" w:hanging="420"/>
      </w:pPr>
      <w:rPr>
        <w:rFonts w:hint="eastAsia"/>
      </w:rPr>
    </w:lvl>
    <w:lvl w:ilvl="3" w:tentative="0">
      <w:start w:val="1"/>
      <w:numFmt w:val="decimal"/>
      <w:lvlText w:val="%4."/>
      <w:lvlJc w:val="left"/>
      <w:pPr>
        <w:ind w:left="2106" w:hanging="420"/>
      </w:pPr>
      <w:rPr>
        <w:rFonts w:hint="eastAsia"/>
      </w:rPr>
    </w:lvl>
    <w:lvl w:ilvl="4" w:tentative="0">
      <w:start w:val="1"/>
      <w:numFmt w:val="lowerLetter"/>
      <w:lvlText w:val="%5)"/>
      <w:lvlJc w:val="left"/>
      <w:pPr>
        <w:ind w:left="2526" w:hanging="420"/>
      </w:pPr>
      <w:rPr>
        <w:rFonts w:hint="eastAsia"/>
      </w:rPr>
    </w:lvl>
    <w:lvl w:ilvl="5" w:tentative="0">
      <w:start w:val="1"/>
      <w:numFmt w:val="lowerRoman"/>
      <w:lvlText w:val="%6."/>
      <w:lvlJc w:val="right"/>
      <w:pPr>
        <w:ind w:left="2946" w:hanging="420"/>
      </w:pPr>
      <w:rPr>
        <w:rFonts w:hint="eastAsia"/>
      </w:rPr>
    </w:lvl>
    <w:lvl w:ilvl="6" w:tentative="0">
      <w:start w:val="1"/>
      <w:numFmt w:val="decimal"/>
      <w:lvlText w:val="%7."/>
      <w:lvlJc w:val="left"/>
      <w:pPr>
        <w:ind w:left="3366" w:hanging="420"/>
      </w:pPr>
      <w:rPr>
        <w:rFonts w:hint="eastAsia"/>
      </w:rPr>
    </w:lvl>
    <w:lvl w:ilvl="7" w:tentative="0">
      <w:start w:val="1"/>
      <w:numFmt w:val="lowerLetter"/>
      <w:lvlText w:val="%8)"/>
      <w:lvlJc w:val="left"/>
      <w:pPr>
        <w:ind w:left="3786" w:hanging="420"/>
      </w:pPr>
      <w:rPr>
        <w:rFonts w:hint="eastAsia"/>
      </w:rPr>
    </w:lvl>
    <w:lvl w:ilvl="8" w:tentative="0">
      <w:start w:val="1"/>
      <w:numFmt w:val="lowerRoman"/>
      <w:lvlText w:val="%9."/>
      <w:lvlJc w:val="right"/>
      <w:pPr>
        <w:ind w:left="4206" w:hanging="420"/>
      </w:pPr>
      <w:rPr>
        <w:rFonts w:hint="eastAsia"/>
      </w:rPr>
    </w:lvl>
  </w:abstractNum>
  <w:abstractNum w:abstractNumId="9">
    <w:nsid w:val="64573046"/>
    <w:multiLevelType w:val="multilevel"/>
    <w:tmpl w:val="64573046"/>
    <w:lvl w:ilvl="0" w:tentative="0">
      <w:start w:val="1"/>
      <w:numFmt w:val="decimal"/>
      <w:suff w:val="nothing"/>
      <w:lvlText w:val="%1）"/>
      <w:lvlJc w:val="left"/>
      <w:pPr>
        <w:ind w:left="0" w:firstLine="454"/>
      </w:pPr>
      <w:rPr>
        <w:rFonts w:hint="default"/>
      </w:rPr>
    </w:lvl>
    <w:lvl w:ilvl="1" w:tentative="0">
      <w:start w:val="1"/>
      <w:numFmt w:val="lowerLetter"/>
      <w:lvlText w:val="%2)"/>
      <w:lvlJc w:val="left"/>
      <w:pPr>
        <w:ind w:left="1266" w:hanging="420"/>
      </w:pPr>
      <w:rPr>
        <w:rFonts w:hint="eastAsia"/>
      </w:rPr>
    </w:lvl>
    <w:lvl w:ilvl="2" w:tentative="0">
      <w:start w:val="1"/>
      <w:numFmt w:val="lowerRoman"/>
      <w:lvlText w:val="%3."/>
      <w:lvlJc w:val="right"/>
      <w:pPr>
        <w:ind w:left="1686" w:hanging="420"/>
      </w:pPr>
      <w:rPr>
        <w:rFonts w:hint="eastAsia"/>
      </w:rPr>
    </w:lvl>
    <w:lvl w:ilvl="3" w:tentative="0">
      <w:start w:val="1"/>
      <w:numFmt w:val="decimal"/>
      <w:lvlText w:val="%4."/>
      <w:lvlJc w:val="left"/>
      <w:pPr>
        <w:ind w:left="2106" w:hanging="420"/>
      </w:pPr>
      <w:rPr>
        <w:rFonts w:hint="eastAsia"/>
      </w:rPr>
    </w:lvl>
    <w:lvl w:ilvl="4" w:tentative="0">
      <w:start w:val="1"/>
      <w:numFmt w:val="lowerLetter"/>
      <w:lvlText w:val="%5)"/>
      <w:lvlJc w:val="left"/>
      <w:pPr>
        <w:ind w:left="2526" w:hanging="420"/>
      </w:pPr>
      <w:rPr>
        <w:rFonts w:hint="eastAsia"/>
      </w:rPr>
    </w:lvl>
    <w:lvl w:ilvl="5" w:tentative="0">
      <w:start w:val="1"/>
      <w:numFmt w:val="lowerRoman"/>
      <w:lvlText w:val="%6."/>
      <w:lvlJc w:val="right"/>
      <w:pPr>
        <w:ind w:left="2946" w:hanging="420"/>
      </w:pPr>
      <w:rPr>
        <w:rFonts w:hint="eastAsia"/>
      </w:rPr>
    </w:lvl>
    <w:lvl w:ilvl="6" w:tentative="0">
      <w:start w:val="1"/>
      <w:numFmt w:val="decimal"/>
      <w:lvlText w:val="%7."/>
      <w:lvlJc w:val="left"/>
      <w:pPr>
        <w:ind w:left="3366" w:hanging="420"/>
      </w:pPr>
      <w:rPr>
        <w:rFonts w:hint="eastAsia"/>
      </w:rPr>
    </w:lvl>
    <w:lvl w:ilvl="7" w:tentative="0">
      <w:start w:val="1"/>
      <w:numFmt w:val="lowerLetter"/>
      <w:lvlText w:val="%8)"/>
      <w:lvlJc w:val="left"/>
      <w:pPr>
        <w:ind w:left="3786" w:hanging="420"/>
      </w:pPr>
      <w:rPr>
        <w:rFonts w:hint="eastAsia"/>
      </w:rPr>
    </w:lvl>
    <w:lvl w:ilvl="8" w:tentative="0">
      <w:start w:val="1"/>
      <w:numFmt w:val="lowerRoman"/>
      <w:lvlText w:val="%9."/>
      <w:lvlJc w:val="right"/>
      <w:pPr>
        <w:ind w:left="4206" w:hanging="420"/>
      </w:pPr>
      <w:rPr>
        <w:rFonts w:hint="eastAsia"/>
      </w:rPr>
    </w:lvl>
  </w:abstractNum>
  <w:abstractNum w:abstractNumId="10">
    <w:nsid w:val="76916F4A"/>
    <w:multiLevelType w:val="multilevel"/>
    <w:tmpl w:val="76916F4A"/>
    <w:lvl w:ilvl="0" w:tentative="0">
      <w:start w:val="1"/>
      <w:numFmt w:val="decimal"/>
      <w:suff w:val="nothing"/>
      <w:lvlText w:val="%1）"/>
      <w:lvlJc w:val="left"/>
      <w:pPr>
        <w:ind w:left="0" w:firstLine="454"/>
      </w:pPr>
      <w:rPr>
        <w:rFonts w:hint="default"/>
      </w:rPr>
    </w:lvl>
    <w:lvl w:ilvl="1" w:tentative="0">
      <w:start w:val="1"/>
      <w:numFmt w:val="lowerLetter"/>
      <w:lvlText w:val="%2)"/>
      <w:lvlJc w:val="left"/>
      <w:pPr>
        <w:ind w:left="1266" w:hanging="420"/>
      </w:pPr>
      <w:rPr>
        <w:rFonts w:hint="eastAsia"/>
      </w:rPr>
    </w:lvl>
    <w:lvl w:ilvl="2" w:tentative="0">
      <w:start w:val="1"/>
      <w:numFmt w:val="lowerRoman"/>
      <w:lvlText w:val="%3."/>
      <w:lvlJc w:val="right"/>
      <w:pPr>
        <w:ind w:left="1686" w:hanging="420"/>
      </w:pPr>
      <w:rPr>
        <w:rFonts w:hint="eastAsia"/>
      </w:rPr>
    </w:lvl>
    <w:lvl w:ilvl="3" w:tentative="0">
      <w:start w:val="1"/>
      <w:numFmt w:val="decimal"/>
      <w:lvlText w:val="%4."/>
      <w:lvlJc w:val="left"/>
      <w:pPr>
        <w:ind w:left="2106" w:hanging="420"/>
      </w:pPr>
      <w:rPr>
        <w:rFonts w:hint="eastAsia"/>
      </w:rPr>
    </w:lvl>
    <w:lvl w:ilvl="4" w:tentative="0">
      <w:start w:val="1"/>
      <w:numFmt w:val="lowerLetter"/>
      <w:lvlText w:val="%5)"/>
      <w:lvlJc w:val="left"/>
      <w:pPr>
        <w:ind w:left="2526" w:hanging="420"/>
      </w:pPr>
      <w:rPr>
        <w:rFonts w:hint="eastAsia"/>
      </w:rPr>
    </w:lvl>
    <w:lvl w:ilvl="5" w:tentative="0">
      <w:start w:val="1"/>
      <w:numFmt w:val="lowerRoman"/>
      <w:lvlText w:val="%6."/>
      <w:lvlJc w:val="right"/>
      <w:pPr>
        <w:ind w:left="2946" w:hanging="420"/>
      </w:pPr>
      <w:rPr>
        <w:rFonts w:hint="eastAsia"/>
      </w:rPr>
    </w:lvl>
    <w:lvl w:ilvl="6" w:tentative="0">
      <w:start w:val="1"/>
      <w:numFmt w:val="decimal"/>
      <w:lvlText w:val="%7."/>
      <w:lvlJc w:val="left"/>
      <w:pPr>
        <w:ind w:left="3366" w:hanging="420"/>
      </w:pPr>
      <w:rPr>
        <w:rFonts w:hint="eastAsia"/>
      </w:rPr>
    </w:lvl>
    <w:lvl w:ilvl="7" w:tentative="0">
      <w:start w:val="1"/>
      <w:numFmt w:val="lowerLetter"/>
      <w:lvlText w:val="%8)"/>
      <w:lvlJc w:val="left"/>
      <w:pPr>
        <w:ind w:left="3786" w:hanging="420"/>
      </w:pPr>
      <w:rPr>
        <w:rFonts w:hint="eastAsia"/>
      </w:rPr>
    </w:lvl>
    <w:lvl w:ilvl="8" w:tentative="0">
      <w:start w:val="1"/>
      <w:numFmt w:val="lowerRoman"/>
      <w:lvlText w:val="%9."/>
      <w:lvlJc w:val="right"/>
      <w:pPr>
        <w:ind w:left="4206" w:hanging="420"/>
      </w:pPr>
      <w:rPr>
        <w:rFonts w:hint="eastAsia"/>
      </w:rPr>
    </w:lvl>
  </w:abstractNum>
  <w:abstractNum w:abstractNumId="11">
    <w:nsid w:val="7A347B79"/>
    <w:multiLevelType w:val="multilevel"/>
    <w:tmpl w:val="7A347B79"/>
    <w:lvl w:ilvl="0" w:tentative="0">
      <w:start w:val="1"/>
      <w:numFmt w:val="decimal"/>
      <w:suff w:val="nothing"/>
      <w:lvlText w:val="%1）"/>
      <w:lvlJc w:val="left"/>
      <w:pPr>
        <w:ind w:left="0" w:firstLine="454"/>
      </w:pPr>
      <w:rPr>
        <w:rFonts w:hint="default"/>
      </w:rPr>
    </w:lvl>
    <w:lvl w:ilvl="1" w:tentative="0">
      <w:start w:val="1"/>
      <w:numFmt w:val="lowerLetter"/>
      <w:lvlText w:val="%2)"/>
      <w:lvlJc w:val="left"/>
      <w:pPr>
        <w:ind w:left="1266" w:hanging="420"/>
      </w:pPr>
      <w:rPr>
        <w:rFonts w:hint="eastAsia"/>
      </w:rPr>
    </w:lvl>
    <w:lvl w:ilvl="2" w:tentative="0">
      <w:start w:val="1"/>
      <w:numFmt w:val="lowerRoman"/>
      <w:lvlText w:val="%3."/>
      <w:lvlJc w:val="right"/>
      <w:pPr>
        <w:ind w:left="1686" w:hanging="420"/>
      </w:pPr>
      <w:rPr>
        <w:rFonts w:hint="eastAsia"/>
      </w:rPr>
    </w:lvl>
    <w:lvl w:ilvl="3" w:tentative="0">
      <w:start w:val="1"/>
      <w:numFmt w:val="decimal"/>
      <w:lvlText w:val="%4."/>
      <w:lvlJc w:val="left"/>
      <w:pPr>
        <w:ind w:left="2106" w:hanging="420"/>
      </w:pPr>
      <w:rPr>
        <w:rFonts w:hint="eastAsia"/>
      </w:rPr>
    </w:lvl>
    <w:lvl w:ilvl="4" w:tentative="0">
      <w:start w:val="1"/>
      <w:numFmt w:val="lowerLetter"/>
      <w:lvlText w:val="%5)"/>
      <w:lvlJc w:val="left"/>
      <w:pPr>
        <w:ind w:left="2526" w:hanging="420"/>
      </w:pPr>
      <w:rPr>
        <w:rFonts w:hint="eastAsia"/>
      </w:rPr>
    </w:lvl>
    <w:lvl w:ilvl="5" w:tentative="0">
      <w:start w:val="1"/>
      <w:numFmt w:val="lowerRoman"/>
      <w:lvlText w:val="%6."/>
      <w:lvlJc w:val="right"/>
      <w:pPr>
        <w:ind w:left="2946" w:hanging="420"/>
      </w:pPr>
      <w:rPr>
        <w:rFonts w:hint="eastAsia"/>
      </w:rPr>
    </w:lvl>
    <w:lvl w:ilvl="6" w:tentative="0">
      <w:start w:val="1"/>
      <w:numFmt w:val="decimal"/>
      <w:lvlText w:val="%7."/>
      <w:lvlJc w:val="left"/>
      <w:pPr>
        <w:ind w:left="3366" w:hanging="420"/>
      </w:pPr>
      <w:rPr>
        <w:rFonts w:hint="eastAsia"/>
      </w:rPr>
    </w:lvl>
    <w:lvl w:ilvl="7" w:tentative="0">
      <w:start w:val="1"/>
      <w:numFmt w:val="lowerLetter"/>
      <w:lvlText w:val="%8)"/>
      <w:lvlJc w:val="left"/>
      <w:pPr>
        <w:ind w:left="3786" w:hanging="420"/>
      </w:pPr>
      <w:rPr>
        <w:rFonts w:hint="eastAsia"/>
      </w:rPr>
    </w:lvl>
    <w:lvl w:ilvl="8" w:tentative="0">
      <w:start w:val="1"/>
      <w:numFmt w:val="lowerRoman"/>
      <w:lvlText w:val="%9."/>
      <w:lvlJc w:val="right"/>
      <w:pPr>
        <w:ind w:left="4206" w:hanging="420"/>
      </w:pPr>
      <w:rPr>
        <w:rFonts w:hint="eastAsia"/>
      </w:rPr>
    </w:lvl>
  </w:abstractNum>
  <w:num w:numId="1">
    <w:abstractNumId w:val="5"/>
  </w:num>
  <w:num w:numId="2">
    <w:abstractNumId w:val="3"/>
  </w:num>
  <w:num w:numId="3">
    <w:abstractNumId w:val="8"/>
  </w:num>
  <w:num w:numId="4">
    <w:abstractNumId w:val="7"/>
  </w:num>
  <w:num w:numId="5">
    <w:abstractNumId w:val="1"/>
  </w:num>
  <w:num w:numId="6">
    <w:abstractNumId w:val="6"/>
  </w:num>
  <w:num w:numId="7">
    <w:abstractNumId w:val="0"/>
  </w:num>
  <w:num w:numId="8">
    <w:abstractNumId w:val="9"/>
  </w:num>
  <w:num w:numId="9">
    <w:abstractNumId w:val="4"/>
  </w:num>
  <w:num w:numId="10">
    <w:abstractNumId w:val="11"/>
  </w:num>
  <w:num w:numId="11">
    <w:abstractNumId w:val="1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drawingGridHorizontalSpacing w:val="105"/>
  <w:drawingGridVerticalSpacing w:val="2"/>
  <w:displayHorizontalDrawingGridEvery w:val="0"/>
  <w:displayVertic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llZTdkOTgzYmNkNDNlNmFlMDI3MTI0YjA5NWI5OTkifQ=="/>
  </w:docVars>
  <w:rsids>
    <w:rsidRoot w:val="00D660CD"/>
    <w:rsid w:val="00000412"/>
    <w:rsid w:val="000006D7"/>
    <w:rsid w:val="0000088F"/>
    <w:rsid w:val="000009C6"/>
    <w:rsid w:val="000013D5"/>
    <w:rsid w:val="000016D1"/>
    <w:rsid w:val="00001766"/>
    <w:rsid w:val="00002266"/>
    <w:rsid w:val="000026D5"/>
    <w:rsid w:val="0000276E"/>
    <w:rsid w:val="00002D63"/>
    <w:rsid w:val="000036D3"/>
    <w:rsid w:val="00003733"/>
    <w:rsid w:val="00003761"/>
    <w:rsid w:val="000039BB"/>
    <w:rsid w:val="00003CAE"/>
    <w:rsid w:val="000041EE"/>
    <w:rsid w:val="00004295"/>
    <w:rsid w:val="00004D8B"/>
    <w:rsid w:val="000052CE"/>
    <w:rsid w:val="00005749"/>
    <w:rsid w:val="00005E1B"/>
    <w:rsid w:val="0000628F"/>
    <w:rsid w:val="00006364"/>
    <w:rsid w:val="0000681A"/>
    <w:rsid w:val="00006923"/>
    <w:rsid w:val="00006EB7"/>
    <w:rsid w:val="00007D65"/>
    <w:rsid w:val="000103C5"/>
    <w:rsid w:val="000103CD"/>
    <w:rsid w:val="00010494"/>
    <w:rsid w:val="00010742"/>
    <w:rsid w:val="000107DA"/>
    <w:rsid w:val="000108E0"/>
    <w:rsid w:val="00010D88"/>
    <w:rsid w:val="00010E5D"/>
    <w:rsid w:val="00011117"/>
    <w:rsid w:val="0001119D"/>
    <w:rsid w:val="000115B8"/>
    <w:rsid w:val="00011751"/>
    <w:rsid w:val="000118B8"/>
    <w:rsid w:val="00012430"/>
    <w:rsid w:val="00012508"/>
    <w:rsid w:val="00012EB1"/>
    <w:rsid w:val="000130CA"/>
    <w:rsid w:val="00013709"/>
    <w:rsid w:val="00013A11"/>
    <w:rsid w:val="00013B6D"/>
    <w:rsid w:val="00014E3A"/>
    <w:rsid w:val="00014ECE"/>
    <w:rsid w:val="00014EFE"/>
    <w:rsid w:val="000150E5"/>
    <w:rsid w:val="00015680"/>
    <w:rsid w:val="0001598E"/>
    <w:rsid w:val="00015B74"/>
    <w:rsid w:val="00015CEB"/>
    <w:rsid w:val="00015F17"/>
    <w:rsid w:val="00015F95"/>
    <w:rsid w:val="000162A7"/>
    <w:rsid w:val="000165E0"/>
    <w:rsid w:val="00016671"/>
    <w:rsid w:val="000166C3"/>
    <w:rsid w:val="000166DF"/>
    <w:rsid w:val="000167E3"/>
    <w:rsid w:val="00016C20"/>
    <w:rsid w:val="00016C52"/>
    <w:rsid w:val="0001733D"/>
    <w:rsid w:val="00017809"/>
    <w:rsid w:val="00017CD8"/>
    <w:rsid w:val="00017CDD"/>
    <w:rsid w:val="00017F47"/>
    <w:rsid w:val="00020CF6"/>
    <w:rsid w:val="0002102B"/>
    <w:rsid w:val="0002127C"/>
    <w:rsid w:val="0002152F"/>
    <w:rsid w:val="000215D5"/>
    <w:rsid w:val="00021830"/>
    <w:rsid w:val="00021995"/>
    <w:rsid w:val="00021B92"/>
    <w:rsid w:val="00021C4A"/>
    <w:rsid w:val="00021E21"/>
    <w:rsid w:val="00022101"/>
    <w:rsid w:val="000227CC"/>
    <w:rsid w:val="00022A52"/>
    <w:rsid w:val="00022DF6"/>
    <w:rsid w:val="000230E7"/>
    <w:rsid w:val="000232E3"/>
    <w:rsid w:val="00023699"/>
    <w:rsid w:val="00023993"/>
    <w:rsid w:val="00023C72"/>
    <w:rsid w:val="00023D70"/>
    <w:rsid w:val="00023E68"/>
    <w:rsid w:val="00023FF2"/>
    <w:rsid w:val="00024258"/>
    <w:rsid w:val="00024D79"/>
    <w:rsid w:val="00024D92"/>
    <w:rsid w:val="00025095"/>
    <w:rsid w:val="0002539F"/>
    <w:rsid w:val="000254E7"/>
    <w:rsid w:val="0002552B"/>
    <w:rsid w:val="00025603"/>
    <w:rsid w:val="00025637"/>
    <w:rsid w:val="0002588F"/>
    <w:rsid w:val="00025CF6"/>
    <w:rsid w:val="00025E23"/>
    <w:rsid w:val="00025FAF"/>
    <w:rsid w:val="00026469"/>
    <w:rsid w:val="00026925"/>
    <w:rsid w:val="00026A75"/>
    <w:rsid w:val="00026CEC"/>
    <w:rsid w:val="000274F8"/>
    <w:rsid w:val="000275EA"/>
    <w:rsid w:val="00027612"/>
    <w:rsid w:val="0002767B"/>
    <w:rsid w:val="0002767C"/>
    <w:rsid w:val="00027898"/>
    <w:rsid w:val="000278E1"/>
    <w:rsid w:val="00027976"/>
    <w:rsid w:val="00027D7F"/>
    <w:rsid w:val="00027EEA"/>
    <w:rsid w:val="000303F9"/>
    <w:rsid w:val="000304FC"/>
    <w:rsid w:val="000305DD"/>
    <w:rsid w:val="000309B3"/>
    <w:rsid w:val="00030B04"/>
    <w:rsid w:val="00030B0B"/>
    <w:rsid w:val="00030D43"/>
    <w:rsid w:val="00030F6F"/>
    <w:rsid w:val="000314B7"/>
    <w:rsid w:val="00031999"/>
    <w:rsid w:val="00031ADE"/>
    <w:rsid w:val="000321F7"/>
    <w:rsid w:val="000322D4"/>
    <w:rsid w:val="0003254B"/>
    <w:rsid w:val="000325E2"/>
    <w:rsid w:val="00032714"/>
    <w:rsid w:val="00032A0A"/>
    <w:rsid w:val="00032A6E"/>
    <w:rsid w:val="00032B07"/>
    <w:rsid w:val="00032B90"/>
    <w:rsid w:val="0003306F"/>
    <w:rsid w:val="000330BB"/>
    <w:rsid w:val="000334DF"/>
    <w:rsid w:val="00033737"/>
    <w:rsid w:val="00033780"/>
    <w:rsid w:val="000338E4"/>
    <w:rsid w:val="00034186"/>
    <w:rsid w:val="0003423E"/>
    <w:rsid w:val="000349D0"/>
    <w:rsid w:val="0003538E"/>
    <w:rsid w:val="00035850"/>
    <w:rsid w:val="0003587D"/>
    <w:rsid w:val="000359D5"/>
    <w:rsid w:val="00035C2D"/>
    <w:rsid w:val="000362D1"/>
    <w:rsid w:val="00036383"/>
    <w:rsid w:val="0003696A"/>
    <w:rsid w:val="000369DB"/>
    <w:rsid w:val="00036CD5"/>
    <w:rsid w:val="000371B8"/>
    <w:rsid w:val="000372D2"/>
    <w:rsid w:val="000373F9"/>
    <w:rsid w:val="0004035E"/>
    <w:rsid w:val="00040463"/>
    <w:rsid w:val="0004065B"/>
    <w:rsid w:val="00040E1F"/>
    <w:rsid w:val="00040F5C"/>
    <w:rsid w:val="0004168D"/>
    <w:rsid w:val="000420FE"/>
    <w:rsid w:val="000423BB"/>
    <w:rsid w:val="0004246B"/>
    <w:rsid w:val="000424E8"/>
    <w:rsid w:val="00042602"/>
    <w:rsid w:val="00042BDE"/>
    <w:rsid w:val="00042C68"/>
    <w:rsid w:val="00042D71"/>
    <w:rsid w:val="00042EF9"/>
    <w:rsid w:val="0004357F"/>
    <w:rsid w:val="000439AC"/>
    <w:rsid w:val="00043A12"/>
    <w:rsid w:val="00044395"/>
    <w:rsid w:val="000445E6"/>
    <w:rsid w:val="00044642"/>
    <w:rsid w:val="0004488E"/>
    <w:rsid w:val="000452A1"/>
    <w:rsid w:val="000453BB"/>
    <w:rsid w:val="00045884"/>
    <w:rsid w:val="00045962"/>
    <w:rsid w:val="00045ECF"/>
    <w:rsid w:val="0004634C"/>
    <w:rsid w:val="000465E3"/>
    <w:rsid w:val="0004672D"/>
    <w:rsid w:val="00046A17"/>
    <w:rsid w:val="00046CCF"/>
    <w:rsid w:val="00046CDB"/>
    <w:rsid w:val="00046E10"/>
    <w:rsid w:val="00047219"/>
    <w:rsid w:val="0004758F"/>
    <w:rsid w:val="00047B77"/>
    <w:rsid w:val="00047C57"/>
    <w:rsid w:val="00047FF4"/>
    <w:rsid w:val="00050540"/>
    <w:rsid w:val="0005066E"/>
    <w:rsid w:val="00050745"/>
    <w:rsid w:val="00050BDC"/>
    <w:rsid w:val="000515CB"/>
    <w:rsid w:val="00051B61"/>
    <w:rsid w:val="00051D12"/>
    <w:rsid w:val="00051E4E"/>
    <w:rsid w:val="000520CE"/>
    <w:rsid w:val="00052C1C"/>
    <w:rsid w:val="0005322F"/>
    <w:rsid w:val="000533ED"/>
    <w:rsid w:val="000536C1"/>
    <w:rsid w:val="0005375E"/>
    <w:rsid w:val="00053B57"/>
    <w:rsid w:val="00053C12"/>
    <w:rsid w:val="00054080"/>
    <w:rsid w:val="000543B1"/>
    <w:rsid w:val="00054524"/>
    <w:rsid w:val="0005498A"/>
    <w:rsid w:val="00054C9F"/>
    <w:rsid w:val="000551CD"/>
    <w:rsid w:val="00055905"/>
    <w:rsid w:val="0005637E"/>
    <w:rsid w:val="00056BA1"/>
    <w:rsid w:val="00056E5E"/>
    <w:rsid w:val="00057020"/>
    <w:rsid w:val="000572B8"/>
    <w:rsid w:val="000574C0"/>
    <w:rsid w:val="0005750C"/>
    <w:rsid w:val="00057589"/>
    <w:rsid w:val="00057AFD"/>
    <w:rsid w:val="00057CA8"/>
    <w:rsid w:val="00057D2C"/>
    <w:rsid w:val="00057D7C"/>
    <w:rsid w:val="000600B6"/>
    <w:rsid w:val="000603B7"/>
    <w:rsid w:val="000604AC"/>
    <w:rsid w:val="0006055B"/>
    <w:rsid w:val="0006079D"/>
    <w:rsid w:val="00060B2F"/>
    <w:rsid w:val="00061477"/>
    <w:rsid w:val="00061508"/>
    <w:rsid w:val="00061A73"/>
    <w:rsid w:val="00061E30"/>
    <w:rsid w:val="00061EE8"/>
    <w:rsid w:val="0006200C"/>
    <w:rsid w:val="000620DC"/>
    <w:rsid w:val="00062245"/>
    <w:rsid w:val="00062610"/>
    <w:rsid w:val="000626AC"/>
    <w:rsid w:val="000627A1"/>
    <w:rsid w:val="000628B2"/>
    <w:rsid w:val="00062D62"/>
    <w:rsid w:val="00062FF1"/>
    <w:rsid w:val="00063138"/>
    <w:rsid w:val="000634E8"/>
    <w:rsid w:val="00063DDE"/>
    <w:rsid w:val="00063E26"/>
    <w:rsid w:val="00063F9A"/>
    <w:rsid w:val="0006458C"/>
    <w:rsid w:val="00064A8B"/>
    <w:rsid w:val="00064C5B"/>
    <w:rsid w:val="000650C8"/>
    <w:rsid w:val="000653B8"/>
    <w:rsid w:val="00065491"/>
    <w:rsid w:val="000654AF"/>
    <w:rsid w:val="00065522"/>
    <w:rsid w:val="00065700"/>
    <w:rsid w:val="00065F1D"/>
    <w:rsid w:val="00066811"/>
    <w:rsid w:val="00066D81"/>
    <w:rsid w:val="00067247"/>
    <w:rsid w:val="00067332"/>
    <w:rsid w:val="00067356"/>
    <w:rsid w:val="000673A4"/>
    <w:rsid w:val="000674F0"/>
    <w:rsid w:val="000675DC"/>
    <w:rsid w:val="000676FA"/>
    <w:rsid w:val="000678FA"/>
    <w:rsid w:val="00067A09"/>
    <w:rsid w:val="00067ABF"/>
    <w:rsid w:val="00067BEF"/>
    <w:rsid w:val="000702E5"/>
    <w:rsid w:val="0007048B"/>
    <w:rsid w:val="00070AA2"/>
    <w:rsid w:val="00070FA8"/>
    <w:rsid w:val="000710DF"/>
    <w:rsid w:val="00071BC6"/>
    <w:rsid w:val="00071CFF"/>
    <w:rsid w:val="000723B0"/>
    <w:rsid w:val="0007268A"/>
    <w:rsid w:val="0007272B"/>
    <w:rsid w:val="0007279B"/>
    <w:rsid w:val="00072B91"/>
    <w:rsid w:val="00072DE5"/>
    <w:rsid w:val="00072E73"/>
    <w:rsid w:val="000739A2"/>
    <w:rsid w:val="000739E5"/>
    <w:rsid w:val="00073D40"/>
    <w:rsid w:val="00073D72"/>
    <w:rsid w:val="00073D81"/>
    <w:rsid w:val="00073F29"/>
    <w:rsid w:val="00073FFF"/>
    <w:rsid w:val="000743F8"/>
    <w:rsid w:val="000746CF"/>
    <w:rsid w:val="000750EA"/>
    <w:rsid w:val="000753A1"/>
    <w:rsid w:val="0007596D"/>
    <w:rsid w:val="00075AF9"/>
    <w:rsid w:val="00075B48"/>
    <w:rsid w:val="0007637A"/>
    <w:rsid w:val="00076606"/>
    <w:rsid w:val="00076751"/>
    <w:rsid w:val="00076A25"/>
    <w:rsid w:val="00076CB6"/>
    <w:rsid w:val="0007713E"/>
    <w:rsid w:val="00077275"/>
    <w:rsid w:val="000772BC"/>
    <w:rsid w:val="00080004"/>
    <w:rsid w:val="000800D4"/>
    <w:rsid w:val="0008010E"/>
    <w:rsid w:val="000801C2"/>
    <w:rsid w:val="00080361"/>
    <w:rsid w:val="00080421"/>
    <w:rsid w:val="0008078A"/>
    <w:rsid w:val="00080962"/>
    <w:rsid w:val="00080C29"/>
    <w:rsid w:val="00080D0B"/>
    <w:rsid w:val="00080D6E"/>
    <w:rsid w:val="000813C1"/>
    <w:rsid w:val="000819F0"/>
    <w:rsid w:val="00081DD6"/>
    <w:rsid w:val="00081FAE"/>
    <w:rsid w:val="00082451"/>
    <w:rsid w:val="000824B5"/>
    <w:rsid w:val="00082C25"/>
    <w:rsid w:val="00082EDE"/>
    <w:rsid w:val="00082F71"/>
    <w:rsid w:val="00082FED"/>
    <w:rsid w:val="00083145"/>
    <w:rsid w:val="0008317D"/>
    <w:rsid w:val="00083992"/>
    <w:rsid w:val="00083B77"/>
    <w:rsid w:val="00083E03"/>
    <w:rsid w:val="00083F65"/>
    <w:rsid w:val="00084860"/>
    <w:rsid w:val="0008491A"/>
    <w:rsid w:val="00084A32"/>
    <w:rsid w:val="00084D7C"/>
    <w:rsid w:val="00085100"/>
    <w:rsid w:val="00085141"/>
    <w:rsid w:val="0008540F"/>
    <w:rsid w:val="0008550E"/>
    <w:rsid w:val="00085A58"/>
    <w:rsid w:val="00085E9D"/>
    <w:rsid w:val="00085F93"/>
    <w:rsid w:val="0008621B"/>
    <w:rsid w:val="00086B2A"/>
    <w:rsid w:val="000870B6"/>
    <w:rsid w:val="0008735D"/>
    <w:rsid w:val="00087474"/>
    <w:rsid w:val="000876E2"/>
    <w:rsid w:val="0008773D"/>
    <w:rsid w:val="00087BD3"/>
    <w:rsid w:val="00087BD7"/>
    <w:rsid w:val="00087F0B"/>
    <w:rsid w:val="000902AD"/>
    <w:rsid w:val="0009038E"/>
    <w:rsid w:val="000904C7"/>
    <w:rsid w:val="00090932"/>
    <w:rsid w:val="0009098C"/>
    <w:rsid w:val="000910DA"/>
    <w:rsid w:val="00091106"/>
    <w:rsid w:val="000918FF"/>
    <w:rsid w:val="00091BA6"/>
    <w:rsid w:val="000926B9"/>
    <w:rsid w:val="00092700"/>
    <w:rsid w:val="00092858"/>
    <w:rsid w:val="00092EC0"/>
    <w:rsid w:val="000930F0"/>
    <w:rsid w:val="00093559"/>
    <w:rsid w:val="00093A88"/>
    <w:rsid w:val="00093C87"/>
    <w:rsid w:val="0009417F"/>
    <w:rsid w:val="000942CA"/>
    <w:rsid w:val="00094395"/>
    <w:rsid w:val="00094467"/>
    <w:rsid w:val="00094A20"/>
    <w:rsid w:val="00095079"/>
    <w:rsid w:val="00095538"/>
    <w:rsid w:val="00095900"/>
    <w:rsid w:val="0009593E"/>
    <w:rsid w:val="00095966"/>
    <w:rsid w:val="00095CB5"/>
    <w:rsid w:val="00095F76"/>
    <w:rsid w:val="000967C3"/>
    <w:rsid w:val="00096873"/>
    <w:rsid w:val="000968E0"/>
    <w:rsid w:val="00096A7A"/>
    <w:rsid w:val="00096ABD"/>
    <w:rsid w:val="00096BF9"/>
    <w:rsid w:val="00096D05"/>
    <w:rsid w:val="000970FE"/>
    <w:rsid w:val="0009773F"/>
    <w:rsid w:val="00097888"/>
    <w:rsid w:val="00097925"/>
    <w:rsid w:val="000A1067"/>
    <w:rsid w:val="000A11A9"/>
    <w:rsid w:val="000A1394"/>
    <w:rsid w:val="000A165A"/>
    <w:rsid w:val="000A1AA5"/>
    <w:rsid w:val="000A1E5C"/>
    <w:rsid w:val="000A2478"/>
    <w:rsid w:val="000A263A"/>
    <w:rsid w:val="000A2B1C"/>
    <w:rsid w:val="000A2EE5"/>
    <w:rsid w:val="000A2F13"/>
    <w:rsid w:val="000A3347"/>
    <w:rsid w:val="000A3373"/>
    <w:rsid w:val="000A3630"/>
    <w:rsid w:val="000A3728"/>
    <w:rsid w:val="000A37CF"/>
    <w:rsid w:val="000A427A"/>
    <w:rsid w:val="000A457A"/>
    <w:rsid w:val="000A46B0"/>
    <w:rsid w:val="000A474B"/>
    <w:rsid w:val="000A5747"/>
    <w:rsid w:val="000A58AC"/>
    <w:rsid w:val="000A58B3"/>
    <w:rsid w:val="000A58D7"/>
    <w:rsid w:val="000A5E60"/>
    <w:rsid w:val="000A5F88"/>
    <w:rsid w:val="000A61D1"/>
    <w:rsid w:val="000A6309"/>
    <w:rsid w:val="000A66C3"/>
    <w:rsid w:val="000A67B1"/>
    <w:rsid w:val="000A68AF"/>
    <w:rsid w:val="000A7059"/>
    <w:rsid w:val="000A74F0"/>
    <w:rsid w:val="000A7D10"/>
    <w:rsid w:val="000A7D39"/>
    <w:rsid w:val="000A7ED3"/>
    <w:rsid w:val="000B080B"/>
    <w:rsid w:val="000B08C5"/>
    <w:rsid w:val="000B0B0F"/>
    <w:rsid w:val="000B0D35"/>
    <w:rsid w:val="000B10E9"/>
    <w:rsid w:val="000B1137"/>
    <w:rsid w:val="000B11F5"/>
    <w:rsid w:val="000B17C8"/>
    <w:rsid w:val="000B1A89"/>
    <w:rsid w:val="000B1AA6"/>
    <w:rsid w:val="000B217F"/>
    <w:rsid w:val="000B248E"/>
    <w:rsid w:val="000B251B"/>
    <w:rsid w:val="000B27C7"/>
    <w:rsid w:val="000B2836"/>
    <w:rsid w:val="000B2886"/>
    <w:rsid w:val="000B28DC"/>
    <w:rsid w:val="000B2C32"/>
    <w:rsid w:val="000B2E9D"/>
    <w:rsid w:val="000B31EA"/>
    <w:rsid w:val="000B339C"/>
    <w:rsid w:val="000B357A"/>
    <w:rsid w:val="000B3692"/>
    <w:rsid w:val="000B38E3"/>
    <w:rsid w:val="000B3B4A"/>
    <w:rsid w:val="000B3F6F"/>
    <w:rsid w:val="000B402E"/>
    <w:rsid w:val="000B41D7"/>
    <w:rsid w:val="000B4325"/>
    <w:rsid w:val="000B50FD"/>
    <w:rsid w:val="000B5161"/>
    <w:rsid w:val="000B5381"/>
    <w:rsid w:val="000B53A1"/>
    <w:rsid w:val="000B5479"/>
    <w:rsid w:val="000B55E3"/>
    <w:rsid w:val="000B5A45"/>
    <w:rsid w:val="000B5A68"/>
    <w:rsid w:val="000B5DB9"/>
    <w:rsid w:val="000B5EC5"/>
    <w:rsid w:val="000B6248"/>
    <w:rsid w:val="000B6A88"/>
    <w:rsid w:val="000B6A89"/>
    <w:rsid w:val="000B6A9C"/>
    <w:rsid w:val="000B6AC2"/>
    <w:rsid w:val="000B6CBF"/>
    <w:rsid w:val="000B6F47"/>
    <w:rsid w:val="000B6F5B"/>
    <w:rsid w:val="000B7840"/>
    <w:rsid w:val="000B7FD0"/>
    <w:rsid w:val="000C0270"/>
    <w:rsid w:val="000C02C0"/>
    <w:rsid w:val="000C0E62"/>
    <w:rsid w:val="000C0EEE"/>
    <w:rsid w:val="000C0FF6"/>
    <w:rsid w:val="000C179B"/>
    <w:rsid w:val="000C17DB"/>
    <w:rsid w:val="000C180F"/>
    <w:rsid w:val="000C183C"/>
    <w:rsid w:val="000C19EA"/>
    <w:rsid w:val="000C1AEB"/>
    <w:rsid w:val="000C1E90"/>
    <w:rsid w:val="000C2105"/>
    <w:rsid w:val="000C2D0B"/>
    <w:rsid w:val="000C2EE6"/>
    <w:rsid w:val="000C33DE"/>
    <w:rsid w:val="000C3538"/>
    <w:rsid w:val="000C3887"/>
    <w:rsid w:val="000C3E2C"/>
    <w:rsid w:val="000C4694"/>
    <w:rsid w:val="000C4B51"/>
    <w:rsid w:val="000C4C83"/>
    <w:rsid w:val="000C4FAF"/>
    <w:rsid w:val="000C54F9"/>
    <w:rsid w:val="000C5506"/>
    <w:rsid w:val="000C5DEE"/>
    <w:rsid w:val="000C5EA5"/>
    <w:rsid w:val="000C64CF"/>
    <w:rsid w:val="000C6608"/>
    <w:rsid w:val="000C66C5"/>
    <w:rsid w:val="000C6870"/>
    <w:rsid w:val="000C7045"/>
    <w:rsid w:val="000C76DA"/>
    <w:rsid w:val="000C7940"/>
    <w:rsid w:val="000C7BC3"/>
    <w:rsid w:val="000C7CC8"/>
    <w:rsid w:val="000C7F78"/>
    <w:rsid w:val="000D00BB"/>
    <w:rsid w:val="000D054F"/>
    <w:rsid w:val="000D0553"/>
    <w:rsid w:val="000D092A"/>
    <w:rsid w:val="000D0F44"/>
    <w:rsid w:val="000D134E"/>
    <w:rsid w:val="000D135E"/>
    <w:rsid w:val="000D1884"/>
    <w:rsid w:val="000D1D72"/>
    <w:rsid w:val="000D1D82"/>
    <w:rsid w:val="000D26A4"/>
    <w:rsid w:val="000D2760"/>
    <w:rsid w:val="000D28DD"/>
    <w:rsid w:val="000D2A11"/>
    <w:rsid w:val="000D2A70"/>
    <w:rsid w:val="000D2AE5"/>
    <w:rsid w:val="000D3528"/>
    <w:rsid w:val="000D3B6A"/>
    <w:rsid w:val="000D3D14"/>
    <w:rsid w:val="000D3E65"/>
    <w:rsid w:val="000D4090"/>
    <w:rsid w:val="000D4156"/>
    <w:rsid w:val="000D4594"/>
    <w:rsid w:val="000D47AB"/>
    <w:rsid w:val="000D4B19"/>
    <w:rsid w:val="000D4B6A"/>
    <w:rsid w:val="000D4E9F"/>
    <w:rsid w:val="000D503A"/>
    <w:rsid w:val="000D5614"/>
    <w:rsid w:val="000D56D4"/>
    <w:rsid w:val="000D5E96"/>
    <w:rsid w:val="000D6114"/>
    <w:rsid w:val="000D6490"/>
    <w:rsid w:val="000D66E1"/>
    <w:rsid w:val="000D66F0"/>
    <w:rsid w:val="000D6CB8"/>
    <w:rsid w:val="000D7044"/>
    <w:rsid w:val="000D76B7"/>
    <w:rsid w:val="000D76F9"/>
    <w:rsid w:val="000D777E"/>
    <w:rsid w:val="000D7913"/>
    <w:rsid w:val="000D7950"/>
    <w:rsid w:val="000D7960"/>
    <w:rsid w:val="000D79F3"/>
    <w:rsid w:val="000D7B93"/>
    <w:rsid w:val="000E02FF"/>
    <w:rsid w:val="000E04AE"/>
    <w:rsid w:val="000E0F82"/>
    <w:rsid w:val="000E1092"/>
    <w:rsid w:val="000E13FF"/>
    <w:rsid w:val="000E148C"/>
    <w:rsid w:val="000E1A8E"/>
    <w:rsid w:val="000E1BA7"/>
    <w:rsid w:val="000E1CE2"/>
    <w:rsid w:val="000E291B"/>
    <w:rsid w:val="000E2E82"/>
    <w:rsid w:val="000E3138"/>
    <w:rsid w:val="000E3227"/>
    <w:rsid w:val="000E347B"/>
    <w:rsid w:val="000E384F"/>
    <w:rsid w:val="000E38AC"/>
    <w:rsid w:val="000E39FB"/>
    <w:rsid w:val="000E40F5"/>
    <w:rsid w:val="000E44D4"/>
    <w:rsid w:val="000E4579"/>
    <w:rsid w:val="000E4677"/>
    <w:rsid w:val="000E48B6"/>
    <w:rsid w:val="000E51CC"/>
    <w:rsid w:val="000E53C8"/>
    <w:rsid w:val="000E5664"/>
    <w:rsid w:val="000E57A0"/>
    <w:rsid w:val="000E58CD"/>
    <w:rsid w:val="000E591B"/>
    <w:rsid w:val="000E5B7F"/>
    <w:rsid w:val="000E5BA8"/>
    <w:rsid w:val="000E625F"/>
    <w:rsid w:val="000E6513"/>
    <w:rsid w:val="000E65F9"/>
    <w:rsid w:val="000E6705"/>
    <w:rsid w:val="000E6B14"/>
    <w:rsid w:val="000E75EF"/>
    <w:rsid w:val="000E7A9C"/>
    <w:rsid w:val="000E7D3E"/>
    <w:rsid w:val="000E7F3C"/>
    <w:rsid w:val="000F01C7"/>
    <w:rsid w:val="000F0668"/>
    <w:rsid w:val="000F08A7"/>
    <w:rsid w:val="000F0AAF"/>
    <w:rsid w:val="000F0C10"/>
    <w:rsid w:val="000F0D42"/>
    <w:rsid w:val="000F0E7A"/>
    <w:rsid w:val="000F1979"/>
    <w:rsid w:val="000F1EFD"/>
    <w:rsid w:val="000F234D"/>
    <w:rsid w:val="000F2512"/>
    <w:rsid w:val="000F2800"/>
    <w:rsid w:val="000F2809"/>
    <w:rsid w:val="000F3247"/>
    <w:rsid w:val="000F3522"/>
    <w:rsid w:val="000F3752"/>
    <w:rsid w:val="000F3A6F"/>
    <w:rsid w:val="000F4169"/>
    <w:rsid w:val="000F468E"/>
    <w:rsid w:val="000F4838"/>
    <w:rsid w:val="000F48F0"/>
    <w:rsid w:val="000F495A"/>
    <w:rsid w:val="000F4AD0"/>
    <w:rsid w:val="000F4D85"/>
    <w:rsid w:val="000F5187"/>
    <w:rsid w:val="000F572F"/>
    <w:rsid w:val="000F58E0"/>
    <w:rsid w:val="000F5A94"/>
    <w:rsid w:val="000F5E8D"/>
    <w:rsid w:val="000F6173"/>
    <w:rsid w:val="000F66A2"/>
    <w:rsid w:val="000F6A70"/>
    <w:rsid w:val="000F6DDB"/>
    <w:rsid w:val="000F7468"/>
    <w:rsid w:val="000F7644"/>
    <w:rsid w:val="000F7705"/>
    <w:rsid w:val="000F7708"/>
    <w:rsid w:val="000F77F9"/>
    <w:rsid w:val="000F79C4"/>
    <w:rsid w:val="000F7F34"/>
    <w:rsid w:val="000F7F71"/>
    <w:rsid w:val="001001D9"/>
    <w:rsid w:val="0010029E"/>
    <w:rsid w:val="00100D65"/>
    <w:rsid w:val="00101699"/>
    <w:rsid w:val="00101785"/>
    <w:rsid w:val="0010185C"/>
    <w:rsid w:val="00101D2B"/>
    <w:rsid w:val="00101EBA"/>
    <w:rsid w:val="00101FFB"/>
    <w:rsid w:val="001020DC"/>
    <w:rsid w:val="00102539"/>
    <w:rsid w:val="00102993"/>
    <w:rsid w:val="00103034"/>
    <w:rsid w:val="001033D5"/>
    <w:rsid w:val="00103461"/>
    <w:rsid w:val="00103772"/>
    <w:rsid w:val="0010379F"/>
    <w:rsid w:val="00103979"/>
    <w:rsid w:val="00103993"/>
    <w:rsid w:val="001040D7"/>
    <w:rsid w:val="00105170"/>
    <w:rsid w:val="0010556A"/>
    <w:rsid w:val="001055C6"/>
    <w:rsid w:val="00105816"/>
    <w:rsid w:val="00105838"/>
    <w:rsid w:val="0010586B"/>
    <w:rsid w:val="00105EA0"/>
    <w:rsid w:val="00106A22"/>
    <w:rsid w:val="00106ADE"/>
    <w:rsid w:val="00106D30"/>
    <w:rsid w:val="00107295"/>
    <w:rsid w:val="001072BF"/>
    <w:rsid w:val="00107734"/>
    <w:rsid w:val="001078E6"/>
    <w:rsid w:val="00107918"/>
    <w:rsid w:val="00107A4A"/>
    <w:rsid w:val="00110158"/>
    <w:rsid w:val="0011020B"/>
    <w:rsid w:val="00110708"/>
    <w:rsid w:val="0011091C"/>
    <w:rsid w:val="00110984"/>
    <w:rsid w:val="001109D2"/>
    <w:rsid w:val="00110FD1"/>
    <w:rsid w:val="0011117A"/>
    <w:rsid w:val="001114B1"/>
    <w:rsid w:val="0011152D"/>
    <w:rsid w:val="001118F5"/>
    <w:rsid w:val="00112212"/>
    <w:rsid w:val="00112713"/>
    <w:rsid w:val="00112759"/>
    <w:rsid w:val="00112A3F"/>
    <w:rsid w:val="00112CC7"/>
    <w:rsid w:val="00113249"/>
    <w:rsid w:val="0011381B"/>
    <w:rsid w:val="0011393A"/>
    <w:rsid w:val="00113C5A"/>
    <w:rsid w:val="0011426E"/>
    <w:rsid w:val="00114625"/>
    <w:rsid w:val="00114663"/>
    <w:rsid w:val="00114688"/>
    <w:rsid w:val="0011608E"/>
    <w:rsid w:val="0011630E"/>
    <w:rsid w:val="00116494"/>
    <w:rsid w:val="00116C6A"/>
    <w:rsid w:val="00116CE1"/>
    <w:rsid w:val="00116D19"/>
    <w:rsid w:val="00117241"/>
    <w:rsid w:val="001175D8"/>
    <w:rsid w:val="001179F3"/>
    <w:rsid w:val="00117B65"/>
    <w:rsid w:val="00117F65"/>
    <w:rsid w:val="00117FA1"/>
    <w:rsid w:val="00120091"/>
    <w:rsid w:val="00120253"/>
    <w:rsid w:val="00120701"/>
    <w:rsid w:val="00120D07"/>
    <w:rsid w:val="0012112A"/>
    <w:rsid w:val="00121211"/>
    <w:rsid w:val="0012148E"/>
    <w:rsid w:val="001214C9"/>
    <w:rsid w:val="001217EE"/>
    <w:rsid w:val="00121A93"/>
    <w:rsid w:val="00121F15"/>
    <w:rsid w:val="00122DB6"/>
    <w:rsid w:val="00123260"/>
    <w:rsid w:val="0012344C"/>
    <w:rsid w:val="001234A8"/>
    <w:rsid w:val="00123763"/>
    <w:rsid w:val="00123F0A"/>
    <w:rsid w:val="00123F1E"/>
    <w:rsid w:val="00124232"/>
    <w:rsid w:val="0012429E"/>
    <w:rsid w:val="001244A3"/>
    <w:rsid w:val="0012492D"/>
    <w:rsid w:val="00124AEA"/>
    <w:rsid w:val="00125223"/>
    <w:rsid w:val="00125846"/>
    <w:rsid w:val="00125FB6"/>
    <w:rsid w:val="00126040"/>
    <w:rsid w:val="001261CA"/>
    <w:rsid w:val="001267A2"/>
    <w:rsid w:val="00126924"/>
    <w:rsid w:val="00126B99"/>
    <w:rsid w:val="00126BAF"/>
    <w:rsid w:val="00127BCA"/>
    <w:rsid w:val="00127E66"/>
    <w:rsid w:val="0013007F"/>
    <w:rsid w:val="001303B2"/>
    <w:rsid w:val="00130756"/>
    <w:rsid w:val="00130B25"/>
    <w:rsid w:val="00130CC9"/>
    <w:rsid w:val="00130F4B"/>
    <w:rsid w:val="00131028"/>
    <w:rsid w:val="0013154C"/>
    <w:rsid w:val="00131639"/>
    <w:rsid w:val="0013219D"/>
    <w:rsid w:val="0013258A"/>
    <w:rsid w:val="0013300E"/>
    <w:rsid w:val="00133ABE"/>
    <w:rsid w:val="001343A4"/>
    <w:rsid w:val="001348D4"/>
    <w:rsid w:val="00134A84"/>
    <w:rsid w:val="00135197"/>
    <w:rsid w:val="00135211"/>
    <w:rsid w:val="001352BF"/>
    <w:rsid w:val="001353BD"/>
    <w:rsid w:val="001354A4"/>
    <w:rsid w:val="001357AE"/>
    <w:rsid w:val="001359DB"/>
    <w:rsid w:val="00135E13"/>
    <w:rsid w:val="0013643A"/>
    <w:rsid w:val="00136FC4"/>
    <w:rsid w:val="00137235"/>
    <w:rsid w:val="001372EB"/>
    <w:rsid w:val="0013772D"/>
    <w:rsid w:val="001378A2"/>
    <w:rsid w:val="00137ED0"/>
    <w:rsid w:val="001404DD"/>
    <w:rsid w:val="001404F2"/>
    <w:rsid w:val="00140867"/>
    <w:rsid w:val="00140F43"/>
    <w:rsid w:val="00141296"/>
    <w:rsid w:val="001414FC"/>
    <w:rsid w:val="00141551"/>
    <w:rsid w:val="00141784"/>
    <w:rsid w:val="00141BB9"/>
    <w:rsid w:val="001420C3"/>
    <w:rsid w:val="00142256"/>
    <w:rsid w:val="00142607"/>
    <w:rsid w:val="001434CC"/>
    <w:rsid w:val="00143689"/>
    <w:rsid w:val="001436E3"/>
    <w:rsid w:val="00143850"/>
    <w:rsid w:val="0014397A"/>
    <w:rsid w:val="00143DFA"/>
    <w:rsid w:val="00144465"/>
    <w:rsid w:val="0014518F"/>
    <w:rsid w:val="001453D7"/>
    <w:rsid w:val="00145886"/>
    <w:rsid w:val="001458FB"/>
    <w:rsid w:val="00145D71"/>
    <w:rsid w:val="00145F8F"/>
    <w:rsid w:val="001462EA"/>
    <w:rsid w:val="00146659"/>
    <w:rsid w:val="00146829"/>
    <w:rsid w:val="00146D9E"/>
    <w:rsid w:val="00146E64"/>
    <w:rsid w:val="001472CA"/>
    <w:rsid w:val="00150991"/>
    <w:rsid w:val="00150EBE"/>
    <w:rsid w:val="00150FA9"/>
    <w:rsid w:val="00151705"/>
    <w:rsid w:val="0015191F"/>
    <w:rsid w:val="00151965"/>
    <w:rsid w:val="00151984"/>
    <w:rsid w:val="00151A52"/>
    <w:rsid w:val="00151BA4"/>
    <w:rsid w:val="00152156"/>
    <w:rsid w:val="001521FF"/>
    <w:rsid w:val="001522F2"/>
    <w:rsid w:val="00152361"/>
    <w:rsid w:val="00152743"/>
    <w:rsid w:val="001527B4"/>
    <w:rsid w:val="00152A29"/>
    <w:rsid w:val="00152BBB"/>
    <w:rsid w:val="00152C99"/>
    <w:rsid w:val="00152D6C"/>
    <w:rsid w:val="00152F98"/>
    <w:rsid w:val="00152FE5"/>
    <w:rsid w:val="001531F9"/>
    <w:rsid w:val="001537E5"/>
    <w:rsid w:val="00153867"/>
    <w:rsid w:val="001538F8"/>
    <w:rsid w:val="001541FC"/>
    <w:rsid w:val="001544F0"/>
    <w:rsid w:val="001544F2"/>
    <w:rsid w:val="0015453F"/>
    <w:rsid w:val="00154B11"/>
    <w:rsid w:val="00154C6A"/>
    <w:rsid w:val="00154D3E"/>
    <w:rsid w:val="00154E4B"/>
    <w:rsid w:val="00155011"/>
    <w:rsid w:val="001552DD"/>
    <w:rsid w:val="00155914"/>
    <w:rsid w:val="001559DB"/>
    <w:rsid w:val="00155BF2"/>
    <w:rsid w:val="00155CE4"/>
    <w:rsid w:val="00155F6D"/>
    <w:rsid w:val="00156673"/>
    <w:rsid w:val="00156D6F"/>
    <w:rsid w:val="0015778A"/>
    <w:rsid w:val="00157840"/>
    <w:rsid w:val="00157D67"/>
    <w:rsid w:val="00157F34"/>
    <w:rsid w:val="001606C6"/>
    <w:rsid w:val="001609DD"/>
    <w:rsid w:val="00160A7A"/>
    <w:rsid w:val="00160E02"/>
    <w:rsid w:val="00160E2F"/>
    <w:rsid w:val="00160E7F"/>
    <w:rsid w:val="00160F38"/>
    <w:rsid w:val="0016184A"/>
    <w:rsid w:val="0016197E"/>
    <w:rsid w:val="00161C7D"/>
    <w:rsid w:val="001622A0"/>
    <w:rsid w:val="001637A8"/>
    <w:rsid w:val="00163CEF"/>
    <w:rsid w:val="0016446F"/>
    <w:rsid w:val="00164525"/>
    <w:rsid w:val="001645CD"/>
    <w:rsid w:val="00165062"/>
    <w:rsid w:val="00165E08"/>
    <w:rsid w:val="00166067"/>
    <w:rsid w:val="0016626E"/>
    <w:rsid w:val="00166807"/>
    <w:rsid w:val="001669FD"/>
    <w:rsid w:val="00166D6D"/>
    <w:rsid w:val="00166E4C"/>
    <w:rsid w:val="0016766D"/>
    <w:rsid w:val="00167860"/>
    <w:rsid w:val="00167BEC"/>
    <w:rsid w:val="00167E04"/>
    <w:rsid w:val="00167EA8"/>
    <w:rsid w:val="00167F97"/>
    <w:rsid w:val="001701A5"/>
    <w:rsid w:val="00170212"/>
    <w:rsid w:val="001708A8"/>
    <w:rsid w:val="001709B7"/>
    <w:rsid w:val="00170CD6"/>
    <w:rsid w:val="00170D19"/>
    <w:rsid w:val="001712E2"/>
    <w:rsid w:val="0017189F"/>
    <w:rsid w:val="00171DEF"/>
    <w:rsid w:val="00171F8F"/>
    <w:rsid w:val="001721FE"/>
    <w:rsid w:val="001724F1"/>
    <w:rsid w:val="0017254C"/>
    <w:rsid w:val="0017266A"/>
    <w:rsid w:val="0017271C"/>
    <w:rsid w:val="001728F3"/>
    <w:rsid w:val="00172DC8"/>
    <w:rsid w:val="001733C1"/>
    <w:rsid w:val="0017344B"/>
    <w:rsid w:val="0017364F"/>
    <w:rsid w:val="0017393E"/>
    <w:rsid w:val="0017394B"/>
    <w:rsid w:val="00173987"/>
    <w:rsid w:val="00173CC6"/>
    <w:rsid w:val="00173E43"/>
    <w:rsid w:val="0017403D"/>
    <w:rsid w:val="001741F0"/>
    <w:rsid w:val="00174424"/>
    <w:rsid w:val="00174987"/>
    <w:rsid w:val="00174AB9"/>
    <w:rsid w:val="00175060"/>
    <w:rsid w:val="00175285"/>
    <w:rsid w:val="00175445"/>
    <w:rsid w:val="00175952"/>
    <w:rsid w:val="001762E4"/>
    <w:rsid w:val="00176FB3"/>
    <w:rsid w:val="001771EA"/>
    <w:rsid w:val="001776C4"/>
    <w:rsid w:val="00177B46"/>
    <w:rsid w:val="00177B4E"/>
    <w:rsid w:val="00177F95"/>
    <w:rsid w:val="001800DB"/>
    <w:rsid w:val="0018060A"/>
    <w:rsid w:val="00180928"/>
    <w:rsid w:val="00180DCB"/>
    <w:rsid w:val="00181608"/>
    <w:rsid w:val="001817E7"/>
    <w:rsid w:val="00181895"/>
    <w:rsid w:val="0018222A"/>
    <w:rsid w:val="001826E9"/>
    <w:rsid w:val="001827D7"/>
    <w:rsid w:val="0018280A"/>
    <w:rsid w:val="00182FAF"/>
    <w:rsid w:val="0018355C"/>
    <w:rsid w:val="001838EA"/>
    <w:rsid w:val="001839D1"/>
    <w:rsid w:val="00183BA9"/>
    <w:rsid w:val="00183DAE"/>
    <w:rsid w:val="0018453E"/>
    <w:rsid w:val="0018460B"/>
    <w:rsid w:val="00184C4C"/>
    <w:rsid w:val="00184E5E"/>
    <w:rsid w:val="00185100"/>
    <w:rsid w:val="00185845"/>
    <w:rsid w:val="00185EF9"/>
    <w:rsid w:val="00186136"/>
    <w:rsid w:val="00186428"/>
    <w:rsid w:val="00186DC4"/>
    <w:rsid w:val="001870A5"/>
    <w:rsid w:val="001871AB"/>
    <w:rsid w:val="0018754D"/>
    <w:rsid w:val="00187935"/>
    <w:rsid w:val="0018795D"/>
    <w:rsid w:val="00187E33"/>
    <w:rsid w:val="00190071"/>
    <w:rsid w:val="0019022E"/>
    <w:rsid w:val="001905BE"/>
    <w:rsid w:val="001907F6"/>
    <w:rsid w:val="00191406"/>
    <w:rsid w:val="00191A24"/>
    <w:rsid w:val="00191C85"/>
    <w:rsid w:val="00191EC4"/>
    <w:rsid w:val="0019221A"/>
    <w:rsid w:val="00192ED3"/>
    <w:rsid w:val="00193138"/>
    <w:rsid w:val="0019322D"/>
    <w:rsid w:val="00193284"/>
    <w:rsid w:val="00193C98"/>
    <w:rsid w:val="00193EED"/>
    <w:rsid w:val="001942DE"/>
    <w:rsid w:val="001945AE"/>
    <w:rsid w:val="00194638"/>
    <w:rsid w:val="00194C6A"/>
    <w:rsid w:val="00194DDD"/>
    <w:rsid w:val="00194EE9"/>
    <w:rsid w:val="001950EC"/>
    <w:rsid w:val="00195574"/>
    <w:rsid w:val="00195AF6"/>
    <w:rsid w:val="00195B9E"/>
    <w:rsid w:val="00195F7E"/>
    <w:rsid w:val="001961B6"/>
    <w:rsid w:val="001961FD"/>
    <w:rsid w:val="00196483"/>
    <w:rsid w:val="00196BC5"/>
    <w:rsid w:val="0019729E"/>
    <w:rsid w:val="001972E8"/>
    <w:rsid w:val="00197760"/>
    <w:rsid w:val="00197894"/>
    <w:rsid w:val="0019798D"/>
    <w:rsid w:val="00197B0B"/>
    <w:rsid w:val="00197B53"/>
    <w:rsid w:val="00197B8D"/>
    <w:rsid w:val="001A00F8"/>
    <w:rsid w:val="001A038B"/>
    <w:rsid w:val="001A07B6"/>
    <w:rsid w:val="001A0C8C"/>
    <w:rsid w:val="001A16A2"/>
    <w:rsid w:val="001A1C55"/>
    <w:rsid w:val="001A1D3F"/>
    <w:rsid w:val="001A1D9A"/>
    <w:rsid w:val="001A2165"/>
    <w:rsid w:val="001A21BE"/>
    <w:rsid w:val="001A2285"/>
    <w:rsid w:val="001A2683"/>
    <w:rsid w:val="001A289C"/>
    <w:rsid w:val="001A307C"/>
    <w:rsid w:val="001A30B4"/>
    <w:rsid w:val="001A367D"/>
    <w:rsid w:val="001A3690"/>
    <w:rsid w:val="001A3A01"/>
    <w:rsid w:val="001A3C22"/>
    <w:rsid w:val="001A3D3E"/>
    <w:rsid w:val="001A3FCD"/>
    <w:rsid w:val="001A442F"/>
    <w:rsid w:val="001A479E"/>
    <w:rsid w:val="001A52BC"/>
    <w:rsid w:val="001A55B3"/>
    <w:rsid w:val="001A5640"/>
    <w:rsid w:val="001A58A4"/>
    <w:rsid w:val="001A5AF2"/>
    <w:rsid w:val="001A5BBB"/>
    <w:rsid w:val="001A5D91"/>
    <w:rsid w:val="001A5FA4"/>
    <w:rsid w:val="001A615C"/>
    <w:rsid w:val="001A6943"/>
    <w:rsid w:val="001A6EA4"/>
    <w:rsid w:val="001A71B2"/>
    <w:rsid w:val="001A7233"/>
    <w:rsid w:val="001A72DD"/>
    <w:rsid w:val="001A7AA4"/>
    <w:rsid w:val="001A7E15"/>
    <w:rsid w:val="001A7E24"/>
    <w:rsid w:val="001B097C"/>
    <w:rsid w:val="001B1028"/>
    <w:rsid w:val="001B10E5"/>
    <w:rsid w:val="001B1297"/>
    <w:rsid w:val="001B14EF"/>
    <w:rsid w:val="001B1571"/>
    <w:rsid w:val="001B1656"/>
    <w:rsid w:val="001B17F8"/>
    <w:rsid w:val="001B18F0"/>
    <w:rsid w:val="001B1BFB"/>
    <w:rsid w:val="001B1F53"/>
    <w:rsid w:val="001B22CE"/>
    <w:rsid w:val="001B237F"/>
    <w:rsid w:val="001B23F9"/>
    <w:rsid w:val="001B243A"/>
    <w:rsid w:val="001B296C"/>
    <w:rsid w:val="001B29C6"/>
    <w:rsid w:val="001B2D7A"/>
    <w:rsid w:val="001B2FDB"/>
    <w:rsid w:val="001B3302"/>
    <w:rsid w:val="001B35E3"/>
    <w:rsid w:val="001B37AE"/>
    <w:rsid w:val="001B39A1"/>
    <w:rsid w:val="001B3EAD"/>
    <w:rsid w:val="001B47BB"/>
    <w:rsid w:val="001B4B9E"/>
    <w:rsid w:val="001B4B9F"/>
    <w:rsid w:val="001B4CFD"/>
    <w:rsid w:val="001B4EA9"/>
    <w:rsid w:val="001B4FEB"/>
    <w:rsid w:val="001B5071"/>
    <w:rsid w:val="001B51D7"/>
    <w:rsid w:val="001B5C39"/>
    <w:rsid w:val="001B61FF"/>
    <w:rsid w:val="001B62F2"/>
    <w:rsid w:val="001B6353"/>
    <w:rsid w:val="001B64AA"/>
    <w:rsid w:val="001B6761"/>
    <w:rsid w:val="001B67BB"/>
    <w:rsid w:val="001B6931"/>
    <w:rsid w:val="001B697C"/>
    <w:rsid w:val="001B6982"/>
    <w:rsid w:val="001B71BF"/>
    <w:rsid w:val="001B741B"/>
    <w:rsid w:val="001B750C"/>
    <w:rsid w:val="001B76BB"/>
    <w:rsid w:val="001B7A1C"/>
    <w:rsid w:val="001B7BFA"/>
    <w:rsid w:val="001C014A"/>
    <w:rsid w:val="001C019B"/>
    <w:rsid w:val="001C03CD"/>
    <w:rsid w:val="001C04A1"/>
    <w:rsid w:val="001C04AE"/>
    <w:rsid w:val="001C0B5B"/>
    <w:rsid w:val="001C0CF3"/>
    <w:rsid w:val="001C0EFC"/>
    <w:rsid w:val="001C12B5"/>
    <w:rsid w:val="001C17C3"/>
    <w:rsid w:val="001C1879"/>
    <w:rsid w:val="001C1E47"/>
    <w:rsid w:val="001C1EAB"/>
    <w:rsid w:val="001C23C5"/>
    <w:rsid w:val="001C2FA8"/>
    <w:rsid w:val="001C301B"/>
    <w:rsid w:val="001C322A"/>
    <w:rsid w:val="001C3366"/>
    <w:rsid w:val="001C356C"/>
    <w:rsid w:val="001C38A1"/>
    <w:rsid w:val="001C3CCE"/>
    <w:rsid w:val="001C4188"/>
    <w:rsid w:val="001C4BF4"/>
    <w:rsid w:val="001C5695"/>
    <w:rsid w:val="001C57FC"/>
    <w:rsid w:val="001C5933"/>
    <w:rsid w:val="001C596D"/>
    <w:rsid w:val="001C5B31"/>
    <w:rsid w:val="001C5FA8"/>
    <w:rsid w:val="001C601E"/>
    <w:rsid w:val="001C6419"/>
    <w:rsid w:val="001C660E"/>
    <w:rsid w:val="001C678F"/>
    <w:rsid w:val="001C6792"/>
    <w:rsid w:val="001C6996"/>
    <w:rsid w:val="001C6F64"/>
    <w:rsid w:val="001C76AA"/>
    <w:rsid w:val="001C76DB"/>
    <w:rsid w:val="001C7CA8"/>
    <w:rsid w:val="001C7D0A"/>
    <w:rsid w:val="001C7D2F"/>
    <w:rsid w:val="001D06B4"/>
    <w:rsid w:val="001D0B9B"/>
    <w:rsid w:val="001D0BD6"/>
    <w:rsid w:val="001D0D87"/>
    <w:rsid w:val="001D0FFB"/>
    <w:rsid w:val="001D10AE"/>
    <w:rsid w:val="001D12B6"/>
    <w:rsid w:val="001D13F3"/>
    <w:rsid w:val="001D1447"/>
    <w:rsid w:val="001D15A2"/>
    <w:rsid w:val="001D1A3B"/>
    <w:rsid w:val="001D1B00"/>
    <w:rsid w:val="001D21F8"/>
    <w:rsid w:val="001D23D5"/>
    <w:rsid w:val="001D2B01"/>
    <w:rsid w:val="001D2C94"/>
    <w:rsid w:val="001D2F32"/>
    <w:rsid w:val="001D3609"/>
    <w:rsid w:val="001D3632"/>
    <w:rsid w:val="001D4604"/>
    <w:rsid w:val="001D49B9"/>
    <w:rsid w:val="001D49DF"/>
    <w:rsid w:val="001D527A"/>
    <w:rsid w:val="001D5300"/>
    <w:rsid w:val="001D5DE6"/>
    <w:rsid w:val="001D60EC"/>
    <w:rsid w:val="001D6106"/>
    <w:rsid w:val="001D624B"/>
    <w:rsid w:val="001D633F"/>
    <w:rsid w:val="001D671D"/>
    <w:rsid w:val="001D67B1"/>
    <w:rsid w:val="001D68D0"/>
    <w:rsid w:val="001D6F45"/>
    <w:rsid w:val="001D77CB"/>
    <w:rsid w:val="001D7814"/>
    <w:rsid w:val="001D79DF"/>
    <w:rsid w:val="001D7AB7"/>
    <w:rsid w:val="001D7BD5"/>
    <w:rsid w:val="001D7DA4"/>
    <w:rsid w:val="001E01DA"/>
    <w:rsid w:val="001E02D9"/>
    <w:rsid w:val="001E06F2"/>
    <w:rsid w:val="001E1177"/>
    <w:rsid w:val="001E158E"/>
    <w:rsid w:val="001E15F2"/>
    <w:rsid w:val="001E1625"/>
    <w:rsid w:val="001E17ED"/>
    <w:rsid w:val="001E1BF7"/>
    <w:rsid w:val="001E21C7"/>
    <w:rsid w:val="001E24D5"/>
    <w:rsid w:val="001E28A0"/>
    <w:rsid w:val="001E28A5"/>
    <w:rsid w:val="001E2C57"/>
    <w:rsid w:val="001E2CA7"/>
    <w:rsid w:val="001E31EF"/>
    <w:rsid w:val="001E328F"/>
    <w:rsid w:val="001E3593"/>
    <w:rsid w:val="001E360B"/>
    <w:rsid w:val="001E39E3"/>
    <w:rsid w:val="001E3EB6"/>
    <w:rsid w:val="001E40AB"/>
    <w:rsid w:val="001E4975"/>
    <w:rsid w:val="001E4C23"/>
    <w:rsid w:val="001E4CE9"/>
    <w:rsid w:val="001E5B3E"/>
    <w:rsid w:val="001E5D6F"/>
    <w:rsid w:val="001E5E81"/>
    <w:rsid w:val="001E687C"/>
    <w:rsid w:val="001E6A4B"/>
    <w:rsid w:val="001E6D83"/>
    <w:rsid w:val="001E6F46"/>
    <w:rsid w:val="001E7169"/>
    <w:rsid w:val="001E768C"/>
    <w:rsid w:val="001E770E"/>
    <w:rsid w:val="001E7890"/>
    <w:rsid w:val="001E7E6D"/>
    <w:rsid w:val="001F03EC"/>
    <w:rsid w:val="001F05DA"/>
    <w:rsid w:val="001F0BDE"/>
    <w:rsid w:val="001F0E3A"/>
    <w:rsid w:val="001F144E"/>
    <w:rsid w:val="001F14CD"/>
    <w:rsid w:val="001F19AC"/>
    <w:rsid w:val="001F1EE4"/>
    <w:rsid w:val="001F211D"/>
    <w:rsid w:val="001F21C9"/>
    <w:rsid w:val="001F22D3"/>
    <w:rsid w:val="001F2414"/>
    <w:rsid w:val="001F2789"/>
    <w:rsid w:val="001F2DCC"/>
    <w:rsid w:val="001F2E78"/>
    <w:rsid w:val="001F3494"/>
    <w:rsid w:val="001F3886"/>
    <w:rsid w:val="001F38B5"/>
    <w:rsid w:val="001F3D18"/>
    <w:rsid w:val="001F4018"/>
    <w:rsid w:val="001F41B1"/>
    <w:rsid w:val="001F42F0"/>
    <w:rsid w:val="001F4425"/>
    <w:rsid w:val="001F44B3"/>
    <w:rsid w:val="001F4B8F"/>
    <w:rsid w:val="001F50EC"/>
    <w:rsid w:val="001F5B4F"/>
    <w:rsid w:val="001F6190"/>
    <w:rsid w:val="001F649F"/>
    <w:rsid w:val="001F6BB5"/>
    <w:rsid w:val="001F6F1A"/>
    <w:rsid w:val="001F71AC"/>
    <w:rsid w:val="001F75F3"/>
    <w:rsid w:val="002000CB"/>
    <w:rsid w:val="00200194"/>
    <w:rsid w:val="002002B4"/>
    <w:rsid w:val="00200AF4"/>
    <w:rsid w:val="0020121B"/>
    <w:rsid w:val="0020128E"/>
    <w:rsid w:val="0020156C"/>
    <w:rsid w:val="0020161B"/>
    <w:rsid w:val="00201B2C"/>
    <w:rsid w:val="0020321E"/>
    <w:rsid w:val="0020393A"/>
    <w:rsid w:val="002043BC"/>
    <w:rsid w:val="002049D0"/>
    <w:rsid w:val="00204BB1"/>
    <w:rsid w:val="00204D5C"/>
    <w:rsid w:val="00204EAC"/>
    <w:rsid w:val="00205132"/>
    <w:rsid w:val="0020572F"/>
    <w:rsid w:val="00205795"/>
    <w:rsid w:val="00205867"/>
    <w:rsid w:val="00205C2C"/>
    <w:rsid w:val="0020601D"/>
    <w:rsid w:val="0020625C"/>
    <w:rsid w:val="00206266"/>
    <w:rsid w:val="0020650D"/>
    <w:rsid w:val="0020651A"/>
    <w:rsid w:val="00207199"/>
    <w:rsid w:val="0020733A"/>
    <w:rsid w:val="002074B6"/>
    <w:rsid w:val="00207538"/>
    <w:rsid w:val="00207FC9"/>
    <w:rsid w:val="002100F7"/>
    <w:rsid w:val="00210850"/>
    <w:rsid w:val="002109EF"/>
    <w:rsid w:val="00210FFF"/>
    <w:rsid w:val="002110EB"/>
    <w:rsid w:val="00211158"/>
    <w:rsid w:val="00211A95"/>
    <w:rsid w:val="00211AE7"/>
    <w:rsid w:val="0021256C"/>
    <w:rsid w:val="00212654"/>
    <w:rsid w:val="002126C9"/>
    <w:rsid w:val="00212C94"/>
    <w:rsid w:val="0021380F"/>
    <w:rsid w:val="00213935"/>
    <w:rsid w:val="0021442D"/>
    <w:rsid w:val="002147C6"/>
    <w:rsid w:val="00214B14"/>
    <w:rsid w:val="00214C83"/>
    <w:rsid w:val="00215234"/>
    <w:rsid w:val="002156B7"/>
    <w:rsid w:val="00215D20"/>
    <w:rsid w:val="00216093"/>
    <w:rsid w:val="00216170"/>
    <w:rsid w:val="00216786"/>
    <w:rsid w:val="0021687C"/>
    <w:rsid w:val="00216AC1"/>
    <w:rsid w:val="00217179"/>
    <w:rsid w:val="002172BE"/>
    <w:rsid w:val="00217419"/>
    <w:rsid w:val="00220135"/>
    <w:rsid w:val="00220576"/>
    <w:rsid w:val="0022096C"/>
    <w:rsid w:val="002213A2"/>
    <w:rsid w:val="00221821"/>
    <w:rsid w:val="00221E51"/>
    <w:rsid w:val="00221EC8"/>
    <w:rsid w:val="00221F26"/>
    <w:rsid w:val="00222161"/>
    <w:rsid w:val="002227E8"/>
    <w:rsid w:val="002227EA"/>
    <w:rsid w:val="0022281B"/>
    <w:rsid w:val="00222A33"/>
    <w:rsid w:val="00222E21"/>
    <w:rsid w:val="00223089"/>
    <w:rsid w:val="002230F4"/>
    <w:rsid w:val="002235EA"/>
    <w:rsid w:val="00223878"/>
    <w:rsid w:val="002239D9"/>
    <w:rsid w:val="002246A7"/>
    <w:rsid w:val="00224899"/>
    <w:rsid w:val="00224977"/>
    <w:rsid w:val="00224AD5"/>
    <w:rsid w:val="00224DCC"/>
    <w:rsid w:val="00225171"/>
    <w:rsid w:val="00225672"/>
    <w:rsid w:val="0022568E"/>
    <w:rsid w:val="00225DFD"/>
    <w:rsid w:val="00225F05"/>
    <w:rsid w:val="00225F9E"/>
    <w:rsid w:val="00226052"/>
    <w:rsid w:val="0022688E"/>
    <w:rsid w:val="00226ACF"/>
    <w:rsid w:val="00226B0F"/>
    <w:rsid w:val="00227117"/>
    <w:rsid w:val="002272FC"/>
    <w:rsid w:val="002276E4"/>
    <w:rsid w:val="002279CA"/>
    <w:rsid w:val="00227F45"/>
    <w:rsid w:val="00227F7E"/>
    <w:rsid w:val="00230029"/>
    <w:rsid w:val="0023037B"/>
    <w:rsid w:val="002306A0"/>
    <w:rsid w:val="0023176E"/>
    <w:rsid w:val="00231939"/>
    <w:rsid w:val="00231AE5"/>
    <w:rsid w:val="0023209C"/>
    <w:rsid w:val="00232725"/>
    <w:rsid w:val="002327FA"/>
    <w:rsid w:val="00232822"/>
    <w:rsid w:val="00232856"/>
    <w:rsid w:val="00232A37"/>
    <w:rsid w:val="002330E1"/>
    <w:rsid w:val="0023315F"/>
    <w:rsid w:val="0023399D"/>
    <w:rsid w:val="00234093"/>
    <w:rsid w:val="002345D5"/>
    <w:rsid w:val="00234CC9"/>
    <w:rsid w:val="00234E8F"/>
    <w:rsid w:val="00234F72"/>
    <w:rsid w:val="002353D5"/>
    <w:rsid w:val="002355B1"/>
    <w:rsid w:val="00235832"/>
    <w:rsid w:val="00235D70"/>
    <w:rsid w:val="00236344"/>
    <w:rsid w:val="00236548"/>
    <w:rsid w:val="002365E2"/>
    <w:rsid w:val="002368B1"/>
    <w:rsid w:val="002369A2"/>
    <w:rsid w:val="00236A86"/>
    <w:rsid w:val="00236C16"/>
    <w:rsid w:val="00236F52"/>
    <w:rsid w:val="002373CC"/>
    <w:rsid w:val="002373DD"/>
    <w:rsid w:val="0023763E"/>
    <w:rsid w:val="002377C1"/>
    <w:rsid w:val="002377C5"/>
    <w:rsid w:val="00237F40"/>
    <w:rsid w:val="00240328"/>
    <w:rsid w:val="002408CB"/>
    <w:rsid w:val="002408D5"/>
    <w:rsid w:val="00240B50"/>
    <w:rsid w:val="00240BA8"/>
    <w:rsid w:val="00240EE2"/>
    <w:rsid w:val="00241815"/>
    <w:rsid w:val="002418E7"/>
    <w:rsid w:val="00241C89"/>
    <w:rsid w:val="00241E12"/>
    <w:rsid w:val="0024213B"/>
    <w:rsid w:val="0024225B"/>
    <w:rsid w:val="00242292"/>
    <w:rsid w:val="002422DC"/>
    <w:rsid w:val="00242665"/>
    <w:rsid w:val="00242AF3"/>
    <w:rsid w:val="002430C7"/>
    <w:rsid w:val="00243240"/>
    <w:rsid w:val="0024335C"/>
    <w:rsid w:val="002435F6"/>
    <w:rsid w:val="002437DE"/>
    <w:rsid w:val="002438D6"/>
    <w:rsid w:val="00244007"/>
    <w:rsid w:val="0024413A"/>
    <w:rsid w:val="00244854"/>
    <w:rsid w:val="00244AD8"/>
    <w:rsid w:val="00244EAD"/>
    <w:rsid w:val="00245360"/>
    <w:rsid w:val="002454F1"/>
    <w:rsid w:val="00245677"/>
    <w:rsid w:val="00245A02"/>
    <w:rsid w:val="00246174"/>
    <w:rsid w:val="002462E2"/>
    <w:rsid w:val="00246886"/>
    <w:rsid w:val="00246AF8"/>
    <w:rsid w:val="00246B47"/>
    <w:rsid w:val="00246DCB"/>
    <w:rsid w:val="00247272"/>
    <w:rsid w:val="0024796E"/>
    <w:rsid w:val="00250368"/>
    <w:rsid w:val="00250593"/>
    <w:rsid w:val="00251014"/>
    <w:rsid w:val="0025141A"/>
    <w:rsid w:val="00251709"/>
    <w:rsid w:val="00251756"/>
    <w:rsid w:val="00251B42"/>
    <w:rsid w:val="00252004"/>
    <w:rsid w:val="00252145"/>
    <w:rsid w:val="00252350"/>
    <w:rsid w:val="0025235A"/>
    <w:rsid w:val="002523E3"/>
    <w:rsid w:val="002523F9"/>
    <w:rsid w:val="002525B1"/>
    <w:rsid w:val="0025381B"/>
    <w:rsid w:val="00253DAB"/>
    <w:rsid w:val="00253DD2"/>
    <w:rsid w:val="002540C1"/>
    <w:rsid w:val="0025499E"/>
    <w:rsid w:val="00254C13"/>
    <w:rsid w:val="002554BA"/>
    <w:rsid w:val="0025590B"/>
    <w:rsid w:val="00255991"/>
    <w:rsid w:val="002559A1"/>
    <w:rsid w:val="00255C5E"/>
    <w:rsid w:val="00255DD5"/>
    <w:rsid w:val="00256021"/>
    <w:rsid w:val="00256226"/>
    <w:rsid w:val="002563CD"/>
    <w:rsid w:val="0025640D"/>
    <w:rsid w:val="002565DD"/>
    <w:rsid w:val="002567CB"/>
    <w:rsid w:val="00256952"/>
    <w:rsid w:val="00257142"/>
    <w:rsid w:val="002571BC"/>
    <w:rsid w:val="002574F1"/>
    <w:rsid w:val="0025783F"/>
    <w:rsid w:val="00257BD7"/>
    <w:rsid w:val="00257E64"/>
    <w:rsid w:val="0026044D"/>
    <w:rsid w:val="00260940"/>
    <w:rsid w:val="00260DEE"/>
    <w:rsid w:val="00260EFB"/>
    <w:rsid w:val="00261427"/>
    <w:rsid w:val="00261550"/>
    <w:rsid w:val="00261802"/>
    <w:rsid w:val="00261AA3"/>
    <w:rsid w:val="00261D83"/>
    <w:rsid w:val="0026203F"/>
    <w:rsid w:val="002620C8"/>
    <w:rsid w:val="002620D2"/>
    <w:rsid w:val="0026280B"/>
    <w:rsid w:val="00262BAD"/>
    <w:rsid w:val="00262D82"/>
    <w:rsid w:val="00262DCD"/>
    <w:rsid w:val="00263061"/>
    <w:rsid w:val="00263169"/>
    <w:rsid w:val="00263623"/>
    <w:rsid w:val="0026367B"/>
    <w:rsid w:val="00263868"/>
    <w:rsid w:val="00264083"/>
    <w:rsid w:val="00264161"/>
    <w:rsid w:val="00264732"/>
    <w:rsid w:val="00264AC1"/>
    <w:rsid w:val="00264AF0"/>
    <w:rsid w:val="00264BE1"/>
    <w:rsid w:val="00265258"/>
    <w:rsid w:val="0026532A"/>
    <w:rsid w:val="002655AF"/>
    <w:rsid w:val="0026572F"/>
    <w:rsid w:val="002658BD"/>
    <w:rsid w:val="002658E6"/>
    <w:rsid w:val="00265B79"/>
    <w:rsid w:val="002661F7"/>
    <w:rsid w:val="00266D7E"/>
    <w:rsid w:val="00266DC2"/>
    <w:rsid w:val="00267433"/>
    <w:rsid w:val="00267683"/>
    <w:rsid w:val="002677C4"/>
    <w:rsid w:val="00267D03"/>
    <w:rsid w:val="00270444"/>
    <w:rsid w:val="0027068C"/>
    <w:rsid w:val="002709CF"/>
    <w:rsid w:val="00270BC5"/>
    <w:rsid w:val="002712F5"/>
    <w:rsid w:val="00271979"/>
    <w:rsid w:val="00271CC9"/>
    <w:rsid w:val="00271DDE"/>
    <w:rsid w:val="00271F96"/>
    <w:rsid w:val="00272CF6"/>
    <w:rsid w:val="00273023"/>
    <w:rsid w:val="00273760"/>
    <w:rsid w:val="00273B72"/>
    <w:rsid w:val="00273BB3"/>
    <w:rsid w:val="00273EED"/>
    <w:rsid w:val="00274266"/>
    <w:rsid w:val="00274D74"/>
    <w:rsid w:val="00274E8C"/>
    <w:rsid w:val="00275053"/>
    <w:rsid w:val="00275238"/>
    <w:rsid w:val="0027538C"/>
    <w:rsid w:val="00275876"/>
    <w:rsid w:val="00275892"/>
    <w:rsid w:val="002758D6"/>
    <w:rsid w:val="0027599A"/>
    <w:rsid w:val="002759C3"/>
    <w:rsid w:val="00275F24"/>
    <w:rsid w:val="00276636"/>
    <w:rsid w:val="00276734"/>
    <w:rsid w:val="00276789"/>
    <w:rsid w:val="00276BB5"/>
    <w:rsid w:val="00276D95"/>
    <w:rsid w:val="00276DA1"/>
    <w:rsid w:val="00277596"/>
    <w:rsid w:val="00277867"/>
    <w:rsid w:val="00277DF6"/>
    <w:rsid w:val="00277EA3"/>
    <w:rsid w:val="00277EC4"/>
    <w:rsid w:val="002801D0"/>
    <w:rsid w:val="002805A3"/>
    <w:rsid w:val="002807AB"/>
    <w:rsid w:val="00280C52"/>
    <w:rsid w:val="00280C6F"/>
    <w:rsid w:val="002812CF"/>
    <w:rsid w:val="00281886"/>
    <w:rsid w:val="00281A06"/>
    <w:rsid w:val="00281D40"/>
    <w:rsid w:val="00281DF2"/>
    <w:rsid w:val="00281E75"/>
    <w:rsid w:val="00281F3F"/>
    <w:rsid w:val="00281FE2"/>
    <w:rsid w:val="0028233A"/>
    <w:rsid w:val="002823CA"/>
    <w:rsid w:val="002827A3"/>
    <w:rsid w:val="00282E1D"/>
    <w:rsid w:val="002831D3"/>
    <w:rsid w:val="00283950"/>
    <w:rsid w:val="00283986"/>
    <w:rsid w:val="00283A60"/>
    <w:rsid w:val="00283E01"/>
    <w:rsid w:val="00284203"/>
    <w:rsid w:val="00284297"/>
    <w:rsid w:val="002843F7"/>
    <w:rsid w:val="002844B1"/>
    <w:rsid w:val="002848F6"/>
    <w:rsid w:val="00284981"/>
    <w:rsid w:val="00284A8F"/>
    <w:rsid w:val="00284B25"/>
    <w:rsid w:val="00284D6D"/>
    <w:rsid w:val="00284DD3"/>
    <w:rsid w:val="00284FB8"/>
    <w:rsid w:val="00285250"/>
    <w:rsid w:val="00285867"/>
    <w:rsid w:val="002858FA"/>
    <w:rsid w:val="00285B04"/>
    <w:rsid w:val="00285B76"/>
    <w:rsid w:val="0028618F"/>
    <w:rsid w:val="00286B71"/>
    <w:rsid w:val="00286C4D"/>
    <w:rsid w:val="00286D21"/>
    <w:rsid w:val="002873E0"/>
    <w:rsid w:val="00287776"/>
    <w:rsid w:val="00287C8C"/>
    <w:rsid w:val="00287CB6"/>
    <w:rsid w:val="0029009E"/>
    <w:rsid w:val="00290667"/>
    <w:rsid w:val="00290986"/>
    <w:rsid w:val="002909D7"/>
    <w:rsid w:val="00290AA7"/>
    <w:rsid w:val="00290B97"/>
    <w:rsid w:val="00291525"/>
    <w:rsid w:val="002915A6"/>
    <w:rsid w:val="0029162A"/>
    <w:rsid w:val="00291764"/>
    <w:rsid w:val="0029182E"/>
    <w:rsid w:val="00291AD2"/>
    <w:rsid w:val="00291F2F"/>
    <w:rsid w:val="00292126"/>
    <w:rsid w:val="002921D9"/>
    <w:rsid w:val="0029228C"/>
    <w:rsid w:val="00292840"/>
    <w:rsid w:val="00292D59"/>
    <w:rsid w:val="00292E2E"/>
    <w:rsid w:val="00292F9C"/>
    <w:rsid w:val="002934EA"/>
    <w:rsid w:val="002935C3"/>
    <w:rsid w:val="00293693"/>
    <w:rsid w:val="00293A3D"/>
    <w:rsid w:val="00293D7D"/>
    <w:rsid w:val="002946E7"/>
    <w:rsid w:val="00294EFC"/>
    <w:rsid w:val="00294EFD"/>
    <w:rsid w:val="00294F5A"/>
    <w:rsid w:val="00295240"/>
    <w:rsid w:val="002952EF"/>
    <w:rsid w:val="0029531B"/>
    <w:rsid w:val="00295370"/>
    <w:rsid w:val="002955F5"/>
    <w:rsid w:val="002958D4"/>
    <w:rsid w:val="00295966"/>
    <w:rsid w:val="00295A2C"/>
    <w:rsid w:val="00295F5A"/>
    <w:rsid w:val="00296299"/>
    <w:rsid w:val="00296C57"/>
    <w:rsid w:val="002973F0"/>
    <w:rsid w:val="002979B1"/>
    <w:rsid w:val="00297B42"/>
    <w:rsid w:val="002A0844"/>
    <w:rsid w:val="002A09F4"/>
    <w:rsid w:val="002A135D"/>
    <w:rsid w:val="002A1478"/>
    <w:rsid w:val="002A14C0"/>
    <w:rsid w:val="002A15E0"/>
    <w:rsid w:val="002A1BAA"/>
    <w:rsid w:val="002A1C0D"/>
    <w:rsid w:val="002A2713"/>
    <w:rsid w:val="002A2843"/>
    <w:rsid w:val="002A2B81"/>
    <w:rsid w:val="002A2C44"/>
    <w:rsid w:val="002A2D3E"/>
    <w:rsid w:val="002A3128"/>
    <w:rsid w:val="002A3487"/>
    <w:rsid w:val="002A3567"/>
    <w:rsid w:val="002A3A25"/>
    <w:rsid w:val="002A3DC5"/>
    <w:rsid w:val="002A410C"/>
    <w:rsid w:val="002A46E3"/>
    <w:rsid w:val="002A47CE"/>
    <w:rsid w:val="002A4986"/>
    <w:rsid w:val="002A4A1E"/>
    <w:rsid w:val="002A4B8E"/>
    <w:rsid w:val="002A5218"/>
    <w:rsid w:val="002A5243"/>
    <w:rsid w:val="002A5448"/>
    <w:rsid w:val="002A5617"/>
    <w:rsid w:val="002A5694"/>
    <w:rsid w:val="002A5738"/>
    <w:rsid w:val="002A5D99"/>
    <w:rsid w:val="002A61E7"/>
    <w:rsid w:val="002A62CA"/>
    <w:rsid w:val="002A69FF"/>
    <w:rsid w:val="002A6D4F"/>
    <w:rsid w:val="002A71E8"/>
    <w:rsid w:val="002A724E"/>
    <w:rsid w:val="002A7260"/>
    <w:rsid w:val="002A7609"/>
    <w:rsid w:val="002A7B88"/>
    <w:rsid w:val="002B0C7C"/>
    <w:rsid w:val="002B0F95"/>
    <w:rsid w:val="002B107B"/>
    <w:rsid w:val="002B128C"/>
    <w:rsid w:val="002B133B"/>
    <w:rsid w:val="002B13B0"/>
    <w:rsid w:val="002B1538"/>
    <w:rsid w:val="002B15D1"/>
    <w:rsid w:val="002B172A"/>
    <w:rsid w:val="002B1CDF"/>
    <w:rsid w:val="002B1D4A"/>
    <w:rsid w:val="002B2500"/>
    <w:rsid w:val="002B2585"/>
    <w:rsid w:val="002B262B"/>
    <w:rsid w:val="002B27D5"/>
    <w:rsid w:val="002B2819"/>
    <w:rsid w:val="002B2B2B"/>
    <w:rsid w:val="002B2EF0"/>
    <w:rsid w:val="002B3126"/>
    <w:rsid w:val="002B362E"/>
    <w:rsid w:val="002B419C"/>
    <w:rsid w:val="002B45A6"/>
    <w:rsid w:val="002B4CC2"/>
    <w:rsid w:val="002B4D38"/>
    <w:rsid w:val="002B4F2A"/>
    <w:rsid w:val="002B55D5"/>
    <w:rsid w:val="002B58F9"/>
    <w:rsid w:val="002B5975"/>
    <w:rsid w:val="002B5D03"/>
    <w:rsid w:val="002B5EBB"/>
    <w:rsid w:val="002B5F96"/>
    <w:rsid w:val="002B5F97"/>
    <w:rsid w:val="002B6611"/>
    <w:rsid w:val="002B6812"/>
    <w:rsid w:val="002B6B00"/>
    <w:rsid w:val="002B6B4E"/>
    <w:rsid w:val="002B6C5C"/>
    <w:rsid w:val="002B6F2B"/>
    <w:rsid w:val="002B7221"/>
    <w:rsid w:val="002B73CE"/>
    <w:rsid w:val="002B7488"/>
    <w:rsid w:val="002B7CA3"/>
    <w:rsid w:val="002B7D2A"/>
    <w:rsid w:val="002B7E10"/>
    <w:rsid w:val="002C0079"/>
    <w:rsid w:val="002C0729"/>
    <w:rsid w:val="002C0992"/>
    <w:rsid w:val="002C0D6B"/>
    <w:rsid w:val="002C0E7B"/>
    <w:rsid w:val="002C10A5"/>
    <w:rsid w:val="002C1484"/>
    <w:rsid w:val="002C1A9B"/>
    <w:rsid w:val="002C2495"/>
    <w:rsid w:val="002C24CF"/>
    <w:rsid w:val="002C2527"/>
    <w:rsid w:val="002C2CC9"/>
    <w:rsid w:val="002C2ED4"/>
    <w:rsid w:val="002C3027"/>
    <w:rsid w:val="002C32EC"/>
    <w:rsid w:val="002C332F"/>
    <w:rsid w:val="002C3507"/>
    <w:rsid w:val="002C3693"/>
    <w:rsid w:val="002C371F"/>
    <w:rsid w:val="002C3720"/>
    <w:rsid w:val="002C384D"/>
    <w:rsid w:val="002C47CB"/>
    <w:rsid w:val="002C4A12"/>
    <w:rsid w:val="002C4D80"/>
    <w:rsid w:val="002C4DDD"/>
    <w:rsid w:val="002C50B9"/>
    <w:rsid w:val="002C5368"/>
    <w:rsid w:val="002C5471"/>
    <w:rsid w:val="002C5816"/>
    <w:rsid w:val="002C58B8"/>
    <w:rsid w:val="002C67CF"/>
    <w:rsid w:val="002C6D7B"/>
    <w:rsid w:val="002C6D8B"/>
    <w:rsid w:val="002C7248"/>
    <w:rsid w:val="002C7F19"/>
    <w:rsid w:val="002D0142"/>
    <w:rsid w:val="002D0400"/>
    <w:rsid w:val="002D0489"/>
    <w:rsid w:val="002D065B"/>
    <w:rsid w:val="002D0B04"/>
    <w:rsid w:val="002D0BAE"/>
    <w:rsid w:val="002D0CDB"/>
    <w:rsid w:val="002D11B6"/>
    <w:rsid w:val="002D121C"/>
    <w:rsid w:val="002D13F8"/>
    <w:rsid w:val="002D1663"/>
    <w:rsid w:val="002D17C0"/>
    <w:rsid w:val="002D19B0"/>
    <w:rsid w:val="002D1BEB"/>
    <w:rsid w:val="002D2098"/>
    <w:rsid w:val="002D232B"/>
    <w:rsid w:val="002D244F"/>
    <w:rsid w:val="002D2881"/>
    <w:rsid w:val="002D2B27"/>
    <w:rsid w:val="002D2C1A"/>
    <w:rsid w:val="002D30D2"/>
    <w:rsid w:val="002D32DA"/>
    <w:rsid w:val="002D3463"/>
    <w:rsid w:val="002D3602"/>
    <w:rsid w:val="002D3993"/>
    <w:rsid w:val="002D3FBF"/>
    <w:rsid w:val="002D421A"/>
    <w:rsid w:val="002D42E8"/>
    <w:rsid w:val="002D4A60"/>
    <w:rsid w:val="002D4B11"/>
    <w:rsid w:val="002D511F"/>
    <w:rsid w:val="002D5587"/>
    <w:rsid w:val="002D595E"/>
    <w:rsid w:val="002D5BF7"/>
    <w:rsid w:val="002D5EA7"/>
    <w:rsid w:val="002D620E"/>
    <w:rsid w:val="002D6373"/>
    <w:rsid w:val="002D63DE"/>
    <w:rsid w:val="002D6798"/>
    <w:rsid w:val="002D6985"/>
    <w:rsid w:val="002D7007"/>
    <w:rsid w:val="002D725E"/>
    <w:rsid w:val="002D7362"/>
    <w:rsid w:val="002D73C7"/>
    <w:rsid w:val="002D783B"/>
    <w:rsid w:val="002D7B4E"/>
    <w:rsid w:val="002E03C1"/>
    <w:rsid w:val="002E0891"/>
    <w:rsid w:val="002E09A9"/>
    <w:rsid w:val="002E102B"/>
    <w:rsid w:val="002E1254"/>
    <w:rsid w:val="002E1516"/>
    <w:rsid w:val="002E1785"/>
    <w:rsid w:val="002E1E13"/>
    <w:rsid w:val="002E1F71"/>
    <w:rsid w:val="002E2033"/>
    <w:rsid w:val="002E24C6"/>
    <w:rsid w:val="002E24F6"/>
    <w:rsid w:val="002E2573"/>
    <w:rsid w:val="002E25CF"/>
    <w:rsid w:val="002E281C"/>
    <w:rsid w:val="002E2AF3"/>
    <w:rsid w:val="002E2B34"/>
    <w:rsid w:val="002E2F5D"/>
    <w:rsid w:val="002E3283"/>
    <w:rsid w:val="002E32E0"/>
    <w:rsid w:val="002E39A7"/>
    <w:rsid w:val="002E3DA5"/>
    <w:rsid w:val="002E4522"/>
    <w:rsid w:val="002E4822"/>
    <w:rsid w:val="002E4C48"/>
    <w:rsid w:val="002E4DBF"/>
    <w:rsid w:val="002E5013"/>
    <w:rsid w:val="002E510A"/>
    <w:rsid w:val="002E5627"/>
    <w:rsid w:val="002E5B78"/>
    <w:rsid w:val="002E5D79"/>
    <w:rsid w:val="002E626F"/>
    <w:rsid w:val="002E665E"/>
    <w:rsid w:val="002E7843"/>
    <w:rsid w:val="002E78FF"/>
    <w:rsid w:val="002E7BC8"/>
    <w:rsid w:val="002F01D8"/>
    <w:rsid w:val="002F02B7"/>
    <w:rsid w:val="002F034C"/>
    <w:rsid w:val="002F043E"/>
    <w:rsid w:val="002F06D5"/>
    <w:rsid w:val="002F0BDF"/>
    <w:rsid w:val="002F0FA7"/>
    <w:rsid w:val="002F0FBB"/>
    <w:rsid w:val="002F12A1"/>
    <w:rsid w:val="002F1313"/>
    <w:rsid w:val="002F17CE"/>
    <w:rsid w:val="002F24EA"/>
    <w:rsid w:val="002F28CF"/>
    <w:rsid w:val="002F2B19"/>
    <w:rsid w:val="002F2CA1"/>
    <w:rsid w:val="002F2ED8"/>
    <w:rsid w:val="002F337C"/>
    <w:rsid w:val="002F356B"/>
    <w:rsid w:val="002F36A4"/>
    <w:rsid w:val="002F3B1D"/>
    <w:rsid w:val="002F3BE4"/>
    <w:rsid w:val="002F4108"/>
    <w:rsid w:val="002F41C3"/>
    <w:rsid w:val="002F4289"/>
    <w:rsid w:val="002F492D"/>
    <w:rsid w:val="002F4E91"/>
    <w:rsid w:val="002F5035"/>
    <w:rsid w:val="002F567C"/>
    <w:rsid w:val="002F5A06"/>
    <w:rsid w:val="002F6160"/>
    <w:rsid w:val="002F64BE"/>
    <w:rsid w:val="002F65B5"/>
    <w:rsid w:val="002F67F1"/>
    <w:rsid w:val="002F688F"/>
    <w:rsid w:val="002F68D6"/>
    <w:rsid w:val="002F6B0C"/>
    <w:rsid w:val="002F6C15"/>
    <w:rsid w:val="002F6D89"/>
    <w:rsid w:val="002F7022"/>
    <w:rsid w:val="002F70DF"/>
    <w:rsid w:val="002F71CF"/>
    <w:rsid w:val="002F72AC"/>
    <w:rsid w:val="002F75CD"/>
    <w:rsid w:val="002F75E3"/>
    <w:rsid w:val="002F797E"/>
    <w:rsid w:val="002F7E50"/>
    <w:rsid w:val="002F7E7E"/>
    <w:rsid w:val="002F7FF6"/>
    <w:rsid w:val="003001CD"/>
    <w:rsid w:val="00300A46"/>
    <w:rsid w:val="00300A6A"/>
    <w:rsid w:val="00300AFC"/>
    <w:rsid w:val="00300CC6"/>
    <w:rsid w:val="00301365"/>
    <w:rsid w:val="00301386"/>
    <w:rsid w:val="00301717"/>
    <w:rsid w:val="003018CA"/>
    <w:rsid w:val="00301A52"/>
    <w:rsid w:val="00301E5A"/>
    <w:rsid w:val="0030218A"/>
    <w:rsid w:val="00302968"/>
    <w:rsid w:val="00302DC5"/>
    <w:rsid w:val="00303A77"/>
    <w:rsid w:val="00303D38"/>
    <w:rsid w:val="00304145"/>
    <w:rsid w:val="0030465B"/>
    <w:rsid w:val="00304DDD"/>
    <w:rsid w:val="00305365"/>
    <w:rsid w:val="003056A1"/>
    <w:rsid w:val="00305853"/>
    <w:rsid w:val="00305BF4"/>
    <w:rsid w:val="00305C26"/>
    <w:rsid w:val="00305D64"/>
    <w:rsid w:val="00306298"/>
    <w:rsid w:val="003064A4"/>
    <w:rsid w:val="00306881"/>
    <w:rsid w:val="00306AEA"/>
    <w:rsid w:val="00306B11"/>
    <w:rsid w:val="00306B26"/>
    <w:rsid w:val="00306BE8"/>
    <w:rsid w:val="00306E9D"/>
    <w:rsid w:val="003072D2"/>
    <w:rsid w:val="003072F4"/>
    <w:rsid w:val="0030747B"/>
    <w:rsid w:val="003077F9"/>
    <w:rsid w:val="00307913"/>
    <w:rsid w:val="003100D5"/>
    <w:rsid w:val="0031023E"/>
    <w:rsid w:val="00310439"/>
    <w:rsid w:val="003105E4"/>
    <w:rsid w:val="003105F5"/>
    <w:rsid w:val="00310B3D"/>
    <w:rsid w:val="003111EF"/>
    <w:rsid w:val="003114AB"/>
    <w:rsid w:val="0031191B"/>
    <w:rsid w:val="00311DC5"/>
    <w:rsid w:val="00311E33"/>
    <w:rsid w:val="00311FAA"/>
    <w:rsid w:val="0031205F"/>
    <w:rsid w:val="0031223B"/>
    <w:rsid w:val="00312530"/>
    <w:rsid w:val="00312C0D"/>
    <w:rsid w:val="0031336C"/>
    <w:rsid w:val="0031378F"/>
    <w:rsid w:val="00313AC9"/>
    <w:rsid w:val="0031485B"/>
    <w:rsid w:val="0031505A"/>
    <w:rsid w:val="00315CC3"/>
    <w:rsid w:val="00316006"/>
    <w:rsid w:val="003160A4"/>
    <w:rsid w:val="00316721"/>
    <w:rsid w:val="00316BA4"/>
    <w:rsid w:val="00316CBD"/>
    <w:rsid w:val="003177BC"/>
    <w:rsid w:val="00317919"/>
    <w:rsid w:val="00317A82"/>
    <w:rsid w:val="00317B9D"/>
    <w:rsid w:val="00317D5B"/>
    <w:rsid w:val="0032023C"/>
    <w:rsid w:val="0032081F"/>
    <w:rsid w:val="00320B1D"/>
    <w:rsid w:val="00320C0C"/>
    <w:rsid w:val="00320EBF"/>
    <w:rsid w:val="003210F1"/>
    <w:rsid w:val="003211A0"/>
    <w:rsid w:val="0032122C"/>
    <w:rsid w:val="0032169C"/>
    <w:rsid w:val="00321C86"/>
    <w:rsid w:val="00321E2A"/>
    <w:rsid w:val="00321ED5"/>
    <w:rsid w:val="00321F44"/>
    <w:rsid w:val="003222B6"/>
    <w:rsid w:val="00322490"/>
    <w:rsid w:val="003224C1"/>
    <w:rsid w:val="0032288F"/>
    <w:rsid w:val="00322A70"/>
    <w:rsid w:val="00322D0A"/>
    <w:rsid w:val="00322D20"/>
    <w:rsid w:val="00322E59"/>
    <w:rsid w:val="003231F3"/>
    <w:rsid w:val="00323230"/>
    <w:rsid w:val="0032362B"/>
    <w:rsid w:val="003238FC"/>
    <w:rsid w:val="003242A3"/>
    <w:rsid w:val="00324592"/>
    <w:rsid w:val="003246C7"/>
    <w:rsid w:val="003246F4"/>
    <w:rsid w:val="003247BA"/>
    <w:rsid w:val="00324A2C"/>
    <w:rsid w:val="003250DF"/>
    <w:rsid w:val="00325747"/>
    <w:rsid w:val="00325A5F"/>
    <w:rsid w:val="00325AFB"/>
    <w:rsid w:val="003260A1"/>
    <w:rsid w:val="0032618C"/>
    <w:rsid w:val="00326193"/>
    <w:rsid w:val="0032630F"/>
    <w:rsid w:val="0032685E"/>
    <w:rsid w:val="00327905"/>
    <w:rsid w:val="00327DDD"/>
    <w:rsid w:val="00330096"/>
    <w:rsid w:val="003301A3"/>
    <w:rsid w:val="003302AA"/>
    <w:rsid w:val="003305EA"/>
    <w:rsid w:val="00330C65"/>
    <w:rsid w:val="00330CFB"/>
    <w:rsid w:val="0033105F"/>
    <w:rsid w:val="003310C3"/>
    <w:rsid w:val="00331B5F"/>
    <w:rsid w:val="003320C8"/>
    <w:rsid w:val="00332652"/>
    <w:rsid w:val="003326DF"/>
    <w:rsid w:val="003329FF"/>
    <w:rsid w:val="003333EE"/>
    <w:rsid w:val="00333A81"/>
    <w:rsid w:val="00333F12"/>
    <w:rsid w:val="00334449"/>
    <w:rsid w:val="00334A82"/>
    <w:rsid w:val="00334BA5"/>
    <w:rsid w:val="00334C7C"/>
    <w:rsid w:val="0033528C"/>
    <w:rsid w:val="003356BF"/>
    <w:rsid w:val="0033582A"/>
    <w:rsid w:val="00335BD9"/>
    <w:rsid w:val="00335E14"/>
    <w:rsid w:val="00336237"/>
    <w:rsid w:val="00336320"/>
    <w:rsid w:val="003365D4"/>
    <w:rsid w:val="003367AB"/>
    <w:rsid w:val="00336B7A"/>
    <w:rsid w:val="00337469"/>
    <w:rsid w:val="00337698"/>
    <w:rsid w:val="00337DC4"/>
    <w:rsid w:val="003400E1"/>
    <w:rsid w:val="00340519"/>
    <w:rsid w:val="00340564"/>
    <w:rsid w:val="003405C1"/>
    <w:rsid w:val="003405D3"/>
    <w:rsid w:val="00341B7B"/>
    <w:rsid w:val="00341B7E"/>
    <w:rsid w:val="00342145"/>
    <w:rsid w:val="00342292"/>
    <w:rsid w:val="00342582"/>
    <w:rsid w:val="00342AB2"/>
    <w:rsid w:val="00342C0C"/>
    <w:rsid w:val="00342E79"/>
    <w:rsid w:val="00343152"/>
    <w:rsid w:val="00343426"/>
    <w:rsid w:val="0034373A"/>
    <w:rsid w:val="003439D7"/>
    <w:rsid w:val="00343C08"/>
    <w:rsid w:val="003443AC"/>
    <w:rsid w:val="003453D2"/>
    <w:rsid w:val="00345503"/>
    <w:rsid w:val="00345E78"/>
    <w:rsid w:val="00346024"/>
    <w:rsid w:val="0034612B"/>
    <w:rsid w:val="003463AC"/>
    <w:rsid w:val="0034658D"/>
    <w:rsid w:val="0034701E"/>
    <w:rsid w:val="003478BF"/>
    <w:rsid w:val="00347D2F"/>
    <w:rsid w:val="0035096C"/>
    <w:rsid w:val="00350AC5"/>
    <w:rsid w:val="003510F9"/>
    <w:rsid w:val="00351173"/>
    <w:rsid w:val="003512D8"/>
    <w:rsid w:val="003517A8"/>
    <w:rsid w:val="00351845"/>
    <w:rsid w:val="00351913"/>
    <w:rsid w:val="00351EA1"/>
    <w:rsid w:val="00352220"/>
    <w:rsid w:val="00352537"/>
    <w:rsid w:val="00352553"/>
    <w:rsid w:val="00352671"/>
    <w:rsid w:val="0035295A"/>
    <w:rsid w:val="00352C1B"/>
    <w:rsid w:val="00352D5F"/>
    <w:rsid w:val="0035309D"/>
    <w:rsid w:val="0035356A"/>
    <w:rsid w:val="00353D00"/>
    <w:rsid w:val="00353DF2"/>
    <w:rsid w:val="00353F38"/>
    <w:rsid w:val="00354251"/>
    <w:rsid w:val="003542C0"/>
    <w:rsid w:val="003542D2"/>
    <w:rsid w:val="00354D28"/>
    <w:rsid w:val="0035500B"/>
    <w:rsid w:val="00355B74"/>
    <w:rsid w:val="00355DA3"/>
    <w:rsid w:val="00355E9A"/>
    <w:rsid w:val="00356110"/>
    <w:rsid w:val="00356B11"/>
    <w:rsid w:val="00356E97"/>
    <w:rsid w:val="00356F08"/>
    <w:rsid w:val="00357064"/>
    <w:rsid w:val="0035713E"/>
    <w:rsid w:val="003575C4"/>
    <w:rsid w:val="00357812"/>
    <w:rsid w:val="00357CC7"/>
    <w:rsid w:val="00357E51"/>
    <w:rsid w:val="003604C1"/>
    <w:rsid w:val="00360827"/>
    <w:rsid w:val="0036104E"/>
    <w:rsid w:val="00361476"/>
    <w:rsid w:val="00361590"/>
    <w:rsid w:val="00361830"/>
    <w:rsid w:val="0036184D"/>
    <w:rsid w:val="0036188D"/>
    <w:rsid w:val="003621EB"/>
    <w:rsid w:val="003625C8"/>
    <w:rsid w:val="003625F8"/>
    <w:rsid w:val="00362DE2"/>
    <w:rsid w:val="003630B4"/>
    <w:rsid w:val="003632A6"/>
    <w:rsid w:val="00363396"/>
    <w:rsid w:val="00363516"/>
    <w:rsid w:val="003635ED"/>
    <w:rsid w:val="00363778"/>
    <w:rsid w:val="00363853"/>
    <w:rsid w:val="00363CA5"/>
    <w:rsid w:val="00363FAB"/>
    <w:rsid w:val="0036421E"/>
    <w:rsid w:val="003652CA"/>
    <w:rsid w:val="00365698"/>
    <w:rsid w:val="00365845"/>
    <w:rsid w:val="00365959"/>
    <w:rsid w:val="00365DD4"/>
    <w:rsid w:val="00365F45"/>
    <w:rsid w:val="00366068"/>
    <w:rsid w:val="00366801"/>
    <w:rsid w:val="00366ADC"/>
    <w:rsid w:val="00366B37"/>
    <w:rsid w:val="00366DED"/>
    <w:rsid w:val="003671C1"/>
    <w:rsid w:val="00367B8A"/>
    <w:rsid w:val="003700FE"/>
    <w:rsid w:val="00370183"/>
    <w:rsid w:val="003705B7"/>
    <w:rsid w:val="00370D11"/>
    <w:rsid w:val="00370D32"/>
    <w:rsid w:val="00370D9A"/>
    <w:rsid w:val="00370E39"/>
    <w:rsid w:val="00371517"/>
    <w:rsid w:val="003718C6"/>
    <w:rsid w:val="003719ED"/>
    <w:rsid w:val="00372383"/>
    <w:rsid w:val="003725B3"/>
    <w:rsid w:val="0037291F"/>
    <w:rsid w:val="00373148"/>
    <w:rsid w:val="00373544"/>
    <w:rsid w:val="0037381B"/>
    <w:rsid w:val="00373960"/>
    <w:rsid w:val="0037399B"/>
    <w:rsid w:val="00374581"/>
    <w:rsid w:val="0037479C"/>
    <w:rsid w:val="003747DD"/>
    <w:rsid w:val="00374843"/>
    <w:rsid w:val="0037488B"/>
    <w:rsid w:val="003748FF"/>
    <w:rsid w:val="00374C9B"/>
    <w:rsid w:val="00374FF6"/>
    <w:rsid w:val="00375530"/>
    <w:rsid w:val="00375B05"/>
    <w:rsid w:val="00376304"/>
    <w:rsid w:val="003765F2"/>
    <w:rsid w:val="003772D8"/>
    <w:rsid w:val="003772DA"/>
    <w:rsid w:val="003773AF"/>
    <w:rsid w:val="0037773F"/>
    <w:rsid w:val="00377789"/>
    <w:rsid w:val="003778DA"/>
    <w:rsid w:val="00377CFE"/>
    <w:rsid w:val="00377DDC"/>
    <w:rsid w:val="00380385"/>
    <w:rsid w:val="00380636"/>
    <w:rsid w:val="00380665"/>
    <w:rsid w:val="003808A6"/>
    <w:rsid w:val="00380D61"/>
    <w:rsid w:val="00380E80"/>
    <w:rsid w:val="00380EFB"/>
    <w:rsid w:val="00381334"/>
    <w:rsid w:val="00381AA8"/>
    <w:rsid w:val="00381BBC"/>
    <w:rsid w:val="00381D5D"/>
    <w:rsid w:val="00381D94"/>
    <w:rsid w:val="00382176"/>
    <w:rsid w:val="00382819"/>
    <w:rsid w:val="0038281C"/>
    <w:rsid w:val="00382A52"/>
    <w:rsid w:val="00382BB6"/>
    <w:rsid w:val="00382C90"/>
    <w:rsid w:val="003837DF"/>
    <w:rsid w:val="00383C06"/>
    <w:rsid w:val="00384381"/>
    <w:rsid w:val="0038438A"/>
    <w:rsid w:val="0038498F"/>
    <w:rsid w:val="00386037"/>
    <w:rsid w:val="0038603B"/>
    <w:rsid w:val="0038660D"/>
    <w:rsid w:val="0038670A"/>
    <w:rsid w:val="00386B62"/>
    <w:rsid w:val="003873BF"/>
    <w:rsid w:val="0038740C"/>
    <w:rsid w:val="00387975"/>
    <w:rsid w:val="00387D16"/>
    <w:rsid w:val="00387F3F"/>
    <w:rsid w:val="003907C5"/>
    <w:rsid w:val="00390823"/>
    <w:rsid w:val="0039105E"/>
    <w:rsid w:val="00391406"/>
    <w:rsid w:val="0039157F"/>
    <w:rsid w:val="003916E6"/>
    <w:rsid w:val="00391967"/>
    <w:rsid w:val="00391AA6"/>
    <w:rsid w:val="00391F66"/>
    <w:rsid w:val="0039261C"/>
    <w:rsid w:val="0039270C"/>
    <w:rsid w:val="00392EA1"/>
    <w:rsid w:val="00392FBB"/>
    <w:rsid w:val="00393176"/>
    <w:rsid w:val="003932EE"/>
    <w:rsid w:val="003933B7"/>
    <w:rsid w:val="003933EA"/>
    <w:rsid w:val="0039352C"/>
    <w:rsid w:val="0039353C"/>
    <w:rsid w:val="003935A2"/>
    <w:rsid w:val="0039364A"/>
    <w:rsid w:val="00393BF5"/>
    <w:rsid w:val="00394369"/>
    <w:rsid w:val="00394815"/>
    <w:rsid w:val="00394AC6"/>
    <w:rsid w:val="00394DA6"/>
    <w:rsid w:val="00394E30"/>
    <w:rsid w:val="00394F28"/>
    <w:rsid w:val="003956FE"/>
    <w:rsid w:val="00395B67"/>
    <w:rsid w:val="00396642"/>
    <w:rsid w:val="00396D33"/>
    <w:rsid w:val="00396F8E"/>
    <w:rsid w:val="003970C1"/>
    <w:rsid w:val="0039723F"/>
    <w:rsid w:val="003972AD"/>
    <w:rsid w:val="00397889"/>
    <w:rsid w:val="00397955"/>
    <w:rsid w:val="003A02E9"/>
    <w:rsid w:val="003A0723"/>
    <w:rsid w:val="003A0863"/>
    <w:rsid w:val="003A0E94"/>
    <w:rsid w:val="003A0F5B"/>
    <w:rsid w:val="003A0F8E"/>
    <w:rsid w:val="003A120A"/>
    <w:rsid w:val="003A1585"/>
    <w:rsid w:val="003A17DF"/>
    <w:rsid w:val="003A1A76"/>
    <w:rsid w:val="003A201F"/>
    <w:rsid w:val="003A2663"/>
    <w:rsid w:val="003A299A"/>
    <w:rsid w:val="003A2BBC"/>
    <w:rsid w:val="003A2DC5"/>
    <w:rsid w:val="003A31E7"/>
    <w:rsid w:val="003A3283"/>
    <w:rsid w:val="003A33D5"/>
    <w:rsid w:val="003A3464"/>
    <w:rsid w:val="003A352E"/>
    <w:rsid w:val="003A39D9"/>
    <w:rsid w:val="003A3A1E"/>
    <w:rsid w:val="003A3AE2"/>
    <w:rsid w:val="003A3AF7"/>
    <w:rsid w:val="003A3F7D"/>
    <w:rsid w:val="003A3FB8"/>
    <w:rsid w:val="003A45F8"/>
    <w:rsid w:val="003A4868"/>
    <w:rsid w:val="003A499D"/>
    <w:rsid w:val="003A4A6B"/>
    <w:rsid w:val="003A4B3D"/>
    <w:rsid w:val="003A4F70"/>
    <w:rsid w:val="003A552C"/>
    <w:rsid w:val="003A591B"/>
    <w:rsid w:val="003A5F1E"/>
    <w:rsid w:val="003A624B"/>
    <w:rsid w:val="003A629A"/>
    <w:rsid w:val="003A6458"/>
    <w:rsid w:val="003A65FD"/>
    <w:rsid w:val="003A669D"/>
    <w:rsid w:val="003A679F"/>
    <w:rsid w:val="003A6A9F"/>
    <w:rsid w:val="003A6AE4"/>
    <w:rsid w:val="003A6DA8"/>
    <w:rsid w:val="003A71EA"/>
    <w:rsid w:val="003A724B"/>
    <w:rsid w:val="003A7402"/>
    <w:rsid w:val="003A796B"/>
    <w:rsid w:val="003A7C4F"/>
    <w:rsid w:val="003A7E5B"/>
    <w:rsid w:val="003A7ECF"/>
    <w:rsid w:val="003A7F67"/>
    <w:rsid w:val="003B01EC"/>
    <w:rsid w:val="003B04A1"/>
    <w:rsid w:val="003B0818"/>
    <w:rsid w:val="003B0AE6"/>
    <w:rsid w:val="003B0EB9"/>
    <w:rsid w:val="003B118D"/>
    <w:rsid w:val="003B1321"/>
    <w:rsid w:val="003B1365"/>
    <w:rsid w:val="003B1545"/>
    <w:rsid w:val="003B18B7"/>
    <w:rsid w:val="003B18CF"/>
    <w:rsid w:val="003B196C"/>
    <w:rsid w:val="003B1B11"/>
    <w:rsid w:val="003B25B8"/>
    <w:rsid w:val="003B298B"/>
    <w:rsid w:val="003B2E0D"/>
    <w:rsid w:val="003B2E1D"/>
    <w:rsid w:val="003B2EC1"/>
    <w:rsid w:val="003B2F34"/>
    <w:rsid w:val="003B3307"/>
    <w:rsid w:val="003B3326"/>
    <w:rsid w:val="003B33EB"/>
    <w:rsid w:val="003B37CA"/>
    <w:rsid w:val="003B3D3C"/>
    <w:rsid w:val="003B3EC4"/>
    <w:rsid w:val="003B41DD"/>
    <w:rsid w:val="003B4283"/>
    <w:rsid w:val="003B4A47"/>
    <w:rsid w:val="003B4B83"/>
    <w:rsid w:val="003B5A86"/>
    <w:rsid w:val="003B5B2C"/>
    <w:rsid w:val="003B5F79"/>
    <w:rsid w:val="003B626B"/>
    <w:rsid w:val="003B6347"/>
    <w:rsid w:val="003B6551"/>
    <w:rsid w:val="003B6615"/>
    <w:rsid w:val="003B6990"/>
    <w:rsid w:val="003B6CC8"/>
    <w:rsid w:val="003B7037"/>
    <w:rsid w:val="003B7868"/>
    <w:rsid w:val="003B7AFD"/>
    <w:rsid w:val="003C02F3"/>
    <w:rsid w:val="003C06A8"/>
    <w:rsid w:val="003C0FE9"/>
    <w:rsid w:val="003C1097"/>
    <w:rsid w:val="003C1447"/>
    <w:rsid w:val="003C1463"/>
    <w:rsid w:val="003C158D"/>
    <w:rsid w:val="003C16DE"/>
    <w:rsid w:val="003C1963"/>
    <w:rsid w:val="003C20CE"/>
    <w:rsid w:val="003C2774"/>
    <w:rsid w:val="003C287D"/>
    <w:rsid w:val="003C2E91"/>
    <w:rsid w:val="003C2EF4"/>
    <w:rsid w:val="003C3225"/>
    <w:rsid w:val="003C3468"/>
    <w:rsid w:val="003C374A"/>
    <w:rsid w:val="003C3E21"/>
    <w:rsid w:val="003C3E81"/>
    <w:rsid w:val="003C4089"/>
    <w:rsid w:val="003C442A"/>
    <w:rsid w:val="003C4617"/>
    <w:rsid w:val="003C480F"/>
    <w:rsid w:val="003C4AF8"/>
    <w:rsid w:val="003C4BEF"/>
    <w:rsid w:val="003C5153"/>
    <w:rsid w:val="003C5294"/>
    <w:rsid w:val="003C565B"/>
    <w:rsid w:val="003C584E"/>
    <w:rsid w:val="003C5BA6"/>
    <w:rsid w:val="003C5C04"/>
    <w:rsid w:val="003C5C1D"/>
    <w:rsid w:val="003C5C8E"/>
    <w:rsid w:val="003C5DEE"/>
    <w:rsid w:val="003C5F93"/>
    <w:rsid w:val="003C61C6"/>
    <w:rsid w:val="003C647D"/>
    <w:rsid w:val="003C6CE0"/>
    <w:rsid w:val="003C6D72"/>
    <w:rsid w:val="003C701C"/>
    <w:rsid w:val="003C767B"/>
    <w:rsid w:val="003C7773"/>
    <w:rsid w:val="003C78A4"/>
    <w:rsid w:val="003D014B"/>
    <w:rsid w:val="003D0215"/>
    <w:rsid w:val="003D0CA2"/>
    <w:rsid w:val="003D0CC3"/>
    <w:rsid w:val="003D0E64"/>
    <w:rsid w:val="003D0EB0"/>
    <w:rsid w:val="003D0F75"/>
    <w:rsid w:val="003D1095"/>
    <w:rsid w:val="003D14C7"/>
    <w:rsid w:val="003D17A8"/>
    <w:rsid w:val="003D198D"/>
    <w:rsid w:val="003D1B39"/>
    <w:rsid w:val="003D1C57"/>
    <w:rsid w:val="003D20D1"/>
    <w:rsid w:val="003D220B"/>
    <w:rsid w:val="003D23C7"/>
    <w:rsid w:val="003D2605"/>
    <w:rsid w:val="003D2678"/>
    <w:rsid w:val="003D2802"/>
    <w:rsid w:val="003D2B33"/>
    <w:rsid w:val="003D2E47"/>
    <w:rsid w:val="003D3679"/>
    <w:rsid w:val="003D39C2"/>
    <w:rsid w:val="003D3C6D"/>
    <w:rsid w:val="003D3E1A"/>
    <w:rsid w:val="003D3E67"/>
    <w:rsid w:val="003D4213"/>
    <w:rsid w:val="003D4743"/>
    <w:rsid w:val="003D4F4C"/>
    <w:rsid w:val="003D5159"/>
    <w:rsid w:val="003D528A"/>
    <w:rsid w:val="003D55BE"/>
    <w:rsid w:val="003D5A9B"/>
    <w:rsid w:val="003D5B15"/>
    <w:rsid w:val="003D5B61"/>
    <w:rsid w:val="003D5CA6"/>
    <w:rsid w:val="003D6112"/>
    <w:rsid w:val="003D636F"/>
    <w:rsid w:val="003D6491"/>
    <w:rsid w:val="003D6861"/>
    <w:rsid w:val="003D7148"/>
    <w:rsid w:val="003D734D"/>
    <w:rsid w:val="003D74CD"/>
    <w:rsid w:val="003D75D5"/>
    <w:rsid w:val="003D79DA"/>
    <w:rsid w:val="003D7BC0"/>
    <w:rsid w:val="003D7D80"/>
    <w:rsid w:val="003E09C1"/>
    <w:rsid w:val="003E0B00"/>
    <w:rsid w:val="003E0D1B"/>
    <w:rsid w:val="003E0DE6"/>
    <w:rsid w:val="003E1131"/>
    <w:rsid w:val="003E1229"/>
    <w:rsid w:val="003E13BC"/>
    <w:rsid w:val="003E142B"/>
    <w:rsid w:val="003E1626"/>
    <w:rsid w:val="003E1A43"/>
    <w:rsid w:val="003E25DB"/>
    <w:rsid w:val="003E25F1"/>
    <w:rsid w:val="003E26F9"/>
    <w:rsid w:val="003E2885"/>
    <w:rsid w:val="003E28F3"/>
    <w:rsid w:val="003E2D1D"/>
    <w:rsid w:val="003E31A1"/>
    <w:rsid w:val="003E32BA"/>
    <w:rsid w:val="003E362C"/>
    <w:rsid w:val="003E36CE"/>
    <w:rsid w:val="003E3728"/>
    <w:rsid w:val="003E3B12"/>
    <w:rsid w:val="003E3F81"/>
    <w:rsid w:val="003E424A"/>
    <w:rsid w:val="003E46DC"/>
    <w:rsid w:val="003E48A2"/>
    <w:rsid w:val="003E49EF"/>
    <w:rsid w:val="003E4A1D"/>
    <w:rsid w:val="003E4A46"/>
    <w:rsid w:val="003E4D9E"/>
    <w:rsid w:val="003E4ECD"/>
    <w:rsid w:val="003E4F7E"/>
    <w:rsid w:val="003E56F7"/>
    <w:rsid w:val="003E58F3"/>
    <w:rsid w:val="003E62EB"/>
    <w:rsid w:val="003E63F5"/>
    <w:rsid w:val="003E6599"/>
    <w:rsid w:val="003E66E5"/>
    <w:rsid w:val="003E673E"/>
    <w:rsid w:val="003E6D64"/>
    <w:rsid w:val="003E6FB9"/>
    <w:rsid w:val="003E78FE"/>
    <w:rsid w:val="003F01E6"/>
    <w:rsid w:val="003F0254"/>
    <w:rsid w:val="003F0260"/>
    <w:rsid w:val="003F02FC"/>
    <w:rsid w:val="003F0607"/>
    <w:rsid w:val="003F06B7"/>
    <w:rsid w:val="003F06F0"/>
    <w:rsid w:val="003F0D74"/>
    <w:rsid w:val="003F0DD2"/>
    <w:rsid w:val="003F0ED4"/>
    <w:rsid w:val="003F0FA9"/>
    <w:rsid w:val="003F1059"/>
    <w:rsid w:val="003F1341"/>
    <w:rsid w:val="003F155D"/>
    <w:rsid w:val="003F16F6"/>
    <w:rsid w:val="003F191F"/>
    <w:rsid w:val="003F1C27"/>
    <w:rsid w:val="003F21C4"/>
    <w:rsid w:val="003F2EF6"/>
    <w:rsid w:val="003F317D"/>
    <w:rsid w:val="003F3206"/>
    <w:rsid w:val="003F3683"/>
    <w:rsid w:val="003F3948"/>
    <w:rsid w:val="003F3950"/>
    <w:rsid w:val="003F3B45"/>
    <w:rsid w:val="003F3D8F"/>
    <w:rsid w:val="003F3E66"/>
    <w:rsid w:val="003F3FA7"/>
    <w:rsid w:val="003F46C4"/>
    <w:rsid w:val="003F4D22"/>
    <w:rsid w:val="003F53A2"/>
    <w:rsid w:val="003F54EA"/>
    <w:rsid w:val="003F5506"/>
    <w:rsid w:val="003F5683"/>
    <w:rsid w:val="003F5CF0"/>
    <w:rsid w:val="003F5F62"/>
    <w:rsid w:val="003F62B0"/>
    <w:rsid w:val="003F6615"/>
    <w:rsid w:val="003F6756"/>
    <w:rsid w:val="003F6857"/>
    <w:rsid w:val="003F68CC"/>
    <w:rsid w:val="003F6CE8"/>
    <w:rsid w:val="003F7296"/>
    <w:rsid w:val="003F75DD"/>
    <w:rsid w:val="003F76DE"/>
    <w:rsid w:val="003F7850"/>
    <w:rsid w:val="003F7899"/>
    <w:rsid w:val="003F79D1"/>
    <w:rsid w:val="0040047E"/>
    <w:rsid w:val="004005C0"/>
    <w:rsid w:val="00400609"/>
    <w:rsid w:val="004008C6"/>
    <w:rsid w:val="00400A20"/>
    <w:rsid w:val="00400E99"/>
    <w:rsid w:val="004010D9"/>
    <w:rsid w:val="0040132E"/>
    <w:rsid w:val="0040160C"/>
    <w:rsid w:val="00402485"/>
    <w:rsid w:val="004025F9"/>
    <w:rsid w:val="0040269A"/>
    <w:rsid w:val="004028A0"/>
    <w:rsid w:val="004029E6"/>
    <w:rsid w:val="00402A63"/>
    <w:rsid w:val="00402B85"/>
    <w:rsid w:val="00402C3F"/>
    <w:rsid w:val="004030EA"/>
    <w:rsid w:val="00403332"/>
    <w:rsid w:val="00403351"/>
    <w:rsid w:val="004036FF"/>
    <w:rsid w:val="00403CD8"/>
    <w:rsid w:val="00403CEB"/>
    <w:rsid w:val="00403D8C"/>
    <w:rsid w:val="00404069"/>
    <w:rsid w:val="0040419A"/>
    <w:rsid w:val="004042FF"/>
    <w:rsid w:val="004048A0"/>
    <w:rsid w:val="00404963"/>
    <w:rsid w:val="00404CA2"/>
    <w:rsid w:val="00404DA0"/>
    <w:rsid w:val="00404EA5"/>
    <w:rsid w:val="004050F5"/>
    <w:rsid w:val="00405158"/>
    <w:rsid w:val="004058CC"/>
    <w:rsid w:val="00405A40"/>
    <w:rsid w:val="00405A43"/>
    <w:rsid w:val="004063DA"/>
    <w:rsid w:val="00406652"/>
    <w:rsid w:val="00406B34"/>
    <w:rsid w:val="00407A18"/>
    <w:rsid w:val="00407CBD"/>
    <w:rsid w:val="00407FC2"/>
    <w:rsid w:val="00410844"/>
    <w:rsid w:val="00410A1D"/>
    <w:rsid w:val="004112B0"/>
    <w:rsid w:val="004112D6"/>
    <w:rsid w:val="00411330"/>
    <w:rsid w:val="004115E9"/>
    <w:rsid w:val="0041178C"/>
    <w:rsid w:val="004117B4"/>
    <w:rsid w:val="00411C37"/>
    <w:rsid w:val="00411CD4"/>
    <w:rsid w:val="00412231"/>
    <w:rsid w:val="004123A2"/>
    <w:rsid w:val="00412660"/>
    <w:rsid w:val="00412EE2"/>
    <w:rsid w:val="00413010"/>
    <w:rsid w:val="00413266"/>
    <w:rsid w:val="0041327B"/>
    <w:rsid w:val="0041347D"/>
    <w:rsid w:val="004134AE"/>
    <w:rsid w:val="004136F6"/>
    <w:rsid w:val="004137E9"/>
    <w:rsid w:val="00413DEE"/>
    <w:rsid w:val="00413F80"/>
    <w:rsid w:val="0041417D"/>
    <w:rsid w:val="004141CA"/>
    <w:rsid w:val="0041442F"/>
    <w:rsid w:val="004146AC"/>
    <w:rsid w:val="00414D55"/>
    <w:rsid w:val="0041510A"/>
    <w:rsid w:val="004152DE"/>
    <w:rsid w:val="00415521"/>
    <w:rsid w:val="004156ED"/>
    <w:rsid w:val="00415848"/>
    <w:rsid w:val="00415E43"/>
    <w:rsid w:val="00415F0B"/>
    <w:rsid w:val="00416145"/>
    <w:rsid w:val="00416851"/>
    <w:rsid w:val="00416946"/>
    <w:rsid w:val="00417050"/>
    <w:rsid w:val="0041722D"/>
    <w:rsid w:val="004176DE"/>
    <w:rsid w:val="00417707"/>
    <w:rsid w:val="00417903"/>
    <w:rsid w:val="00417C7C"/>
    <w:rsid w:val="00417DE8"/>
    <w:rsid w:val="00417E66"/>
    <w:rsid w:val="004207E2"/>
    <w:rsid w:val="004211E5"/>
    <w:rsid w:val="00421328"/>
    <w:rsid w:val="0042228B"/>
    <w:rsid w:val="00422443"/>
    <w:rsid w:val="00422685"/>
    <w:rsid w:val="00422A8C"/>
    <w:rsid w:val="00422B8E"/>
    <w:rsid w:val="00422D8A"/>
    <w:rsid w:val="00422E5E"/>
    <w:rsid w:val="00422E7C"/>
    <w:rsid w:val="00423441"/>
    <w:rsid w:val="00423518"/>
    <w:rsid w:val="0042380C"/>
    <w:rsid w:val="00423CE8"/>
    <w:rsid w:val="0042412A"/>
    <w:rsid w:val="0042418E"/>
    <w:rsid w:val="004243DE"/>
    <w:rsid w:val="004244E5"/>
    <w:rsid w:val="004251A4"/>
    <w:rsid w:val="00425420"/>
    <w:rsid w:val="00425688"/>
    <w:rsid w:val="004257D6"/>
    <w:rsid w:val="00425E2B"/>
    <w:rsid w:val="00425F95"/>
    <w:rsid w:val="0042604F"/>
    <w:rsid w:val="00426BC3"/>
    <w:rsid w:val="00426D80"/>
    <w:rsid w:val="004279B7"/>
    <w:rsid w:val="00427A24"/>
    <w:rsid w:val="00430039"/>
    <w:rsid w:val="00430372"/>
    <w:rsid w:val="00430927"/>
    <w:rsid w:val="00430A29"/>
    <w:rsid w:val="00430F11"/>
    <w:rsid w:val="00431267"/>
    <w:rsid w:val="00431413"/>
    <w:rsid w:val="0043146B"/>
    <w:rsid w:val="00431C27"/>
    <w:rsid w:val="0043267C"/>
    <w:rsid w:val="00432A4C"/>
    <w:rsid w:val="00432D7C"/>
    <w:rsid w:val="00432FEE"/>
    <w:rsid w:val="00433A10"/>
    <w:rsid w:val="00433B60"/>
    <w:rsid w:val="004341C9"/>
    <w:rsid w:val="004342C7"/>
    <w:rsid w:val="004344AB"/>
    <w:rsid w:val="004344C5"/>
    <w:rsid w:val="00434641"/>
    <w:rsid w:val="00434739"/>
    <w:rsid w:val="00435141"/>
    <w:rsid w:val="00435413"/>
    <w:rsid w:val="00435D90"/>
    <w:rsid w:val="004360D1"/>
    <w:rsid w:val="00436E51"/>
    <w:rsid w:val="00437025"/>
    <w:rsid w:val="00437242"/>
    <w:rsid w:val="0043798C"/>
    <w:rsid w:val="00437BFC"/>
    <w:rsid w:val="00437CBA"/>
    <w:rsid w:val="00437EEB"/>
    <w:rsid w:val="00437F7A"/>
    <w:rsid w:val="0044000A"/>
    <w:rsid w:val="00440010"/>
    <w:rsid w:val="004403F6"/>
    <w:rsid w:val="004408D5"/>
    <w:rsid w:val="00440AEB"/>
    <w:rsid w:val="00440CEB"/>
    <w:rsid w:val="0044138B"/>
    <w:rsid w:val="00441444"/>
    <w:rsid w:val="00441655"/>
    <w:rsid w:val="004418A1"/>
    <w:rsid w:val="00441A54"/>
    <w:rsid w:val="00441A63"/>
    <w:rsid w:val="00441CB1"/>
    <w:rsid w:val="00442019"/>
    <w:rsid w:val="00442285"/>
    <w:rsid w:val="0044245F"/>
    <w:rsid w:val="0044356B"/>
    <w:rsid w:val="00443665"/>
    <w:rsid w:val="00443720"/>
    <w:rsid w:val="00443AC9"/>
    <w:rsid w:val="00443AFC"/>
    <w:rsid w:val="00443E3F"/>
    <w:rsid w:val="00443E98"/>
    <w:rsid w:val="00444062"/>
    <w:rsid w:val="0044409C"/>
    <w:rsid w:val="004441DB"/>
    <w:rsid w:val="00444815"/>
    <w:rsid w:val="00444990"/>
    <w:rsid w:val="0044507A"/>
    <w:rsid w:val="004452CC"/>
    <w:rsid w:val="0044555E"/>
    <w:rsid w:val="0044578A"/>
    <w:rsid w:val="00445C34"/>
    <w:rsid w:val="00445CE9"/>
    <w:rsid w:val="00446153"/>
    <w:rsid w:val="00446337"/>
    <w:rsid w:val="004468A7"/>
    <w:rsid w:val="00446A62"/>
    <w:rsid w:val="00446BB3"/>
    <w:rsid w:val="00446DBF"/>
    <w:rsid w:val="00446E99"/>
    <w:rsid w:val="004470FF"/>
    <w:rsid w:val="004473EA"/>
    <w:rsid w:val="00447488"/>
    <w:rsid w:val="00447880"/>
    <w:rsid w:val="00447906"/>
    <w:rsid w:val="00447CE8"/>
    <w:rsid w:val="00447F8B"/>
    <w:rsid w:val="004502B8"/>
    <w:rsid w:val="0045053D"/>
    <w:rsid w:val="004506B1"/>
    <w:rsid w:val="004509B9"/>
    <w:rsid w:val="0045115D"/>
    <w:rsid w:val="00451546"/>
    <w:rsid w:val="00451D73"/>
    <w:rsid w:val="004523CB"/>
    <w:rsid w:val="004528E0"/>
    <w:rsid w:val="00452F6E"/>
    <w:rsid w:val="0045322B"/>
    <w:rsid w:val="004532FD"/>
    <w:rsid w:val="00453396"/>
    <w:rsid w:val="00453918"/>
    <w:rsid w:val="004539C9"/>
    <w:rsid w:val="004539FB"/>
    <w:rsid w:val="00453C37"/>
    <w:rsid w:val="00453E84"/>
    <w:rsid w:val="004540DD"/>
    <w:rsid w:val="00454CCB"/>
    <w:rsid w:val="0045530E"/>
    <w:rsid w:val="0045545B"/>
    <w:rsid w:val="00455DFB"/>
    <w:rsid w:val="00455F6B"/>
    <w:rsid w:val="00456821"/>
    <w:rsid w:val="00456C31"/>
    <w:rsid w:val="00456D4F"/>
    <w:rsid w:val="004573C1"/>
    <w:rsid w:val="00457BF6"/>
    <w:rsid w:val="00460876"/>
    <w:rsid w:val="004608D5"/>
    <w:rsid w:val="00460C99"/>
    <w:rsid w:val="00460D4C"/>
    <w:rsid w:val="004612BE"/>
    <w:rsid w:val="0046131E"/>
    <w:rsid w:val="00461505"/>
    <w:rsid w:val="00461732"/>
    <w:rsid w:val="00461831"/>
    <w:rsid w:val="0046186E"/>
    <w:rsid w:val="004618A7"/>
    <w:rsid w:val="004618EB"/>
    <w:rsid w:val="00462004"/>
    <w:rsid w:val="00462433"/>
    <w:rsid w:val="004629F1"/>
    <w:rsid w:val="00462CFB"/>
    <w:rsid w:val="00462D96"/>
    <w:rsid w:val="00462F4C"/>
    <w:rsid w:val="00462F9A"/>
    <w:rsid w:val="00462FF8"/>
    <w:rsid w:val="004630D9"/>
    <w:rsid w:val="00463255"/>
    <w:rsid w:val="004637C4"/>
    <w:rsid w:val="00463A3B"/>
    <w:rsid w:val="00463B56"/>
    <w:rsid w:val="00463CA1"/>
    <w:rsid w:val="00463F27"/>
    <w:rsid w:val="00464095"/>
    <w:rsid w:val="004643C9"/>
    <w:rsid w:val="0046480D"/>
    <w:rsid w:val="00465103"/>
    <w:rsid w:val="00465434"/>
    <w:rsid w:val="00465B56"/>
    <w:rsid w:val="00466189"/>
    <w:rsid w:val="004661FF"/>
    <w:rsid w:val="004666ED"/>
    <w:rsid w:val="004672EA"/>
    <w:rsid w:val="00467740"/>
    <w:rsid w:val="00467A54"/>
    <w:rsid w:val="00467A7A"/>
    <w:rsid w:val="00467A82"/>
    <w:rsid w:val="00467C99"/>
    <w:rsid w:val="004701DA"/>
    <w:rsid w:val="00470271"/>
    <w:rsid w:val="004705DA"/>
    <w:rsid w:val="004706F9"/>
    <w:rsid w:val="00470A01"/>
    <w:rsid w:val="00470A18"/>
    <w:rsid w:val="00471182"/>
    <w:rsid w:val="0047121A"/>
    <w:rsid w:val="00471A08"/>
    <w:rsid w:val="00471BB0"/>
    <w:rsid w:val="00471EE1"/>
    <w:rsid w:val="0047209B"/>
    <w:rsid w:val="004723D1"/>
    <w:rsid w:val="004724F6"/>
    <w:rsid w:val="004724F7"/>
    <w:rsid w:val="004727B2"/>
    <w:rsid w:val="00472C68"/>
    <w:rsid w:val="00472F7E"/>
    <w:rsid w:val="00472F81"/>
    <w:rsid w:val="004736A4"/>
    <w:rsid w:val="00473E4C"/>
    <w:rsid w:val="00473FC2"/>
    <w:rsid w:val="0047405C"/>
    <w:rsid w:val="00474553"/>
    <w:rsid w:val="0047475B"/>
    <w:rsid w:val="00474791"/>
    <w:rsid w:val="004747B2"/>
    <w:rsid w:val="0047525A"/>
    <w:rsid w:val="00475593"/>
    <w:rsid w:val="00475611"/>
    <w:rsid w:val="00475711"/>
    <w:rsid w:val="0047588A"/>
    <w:rsid w:val="00475A24"/>
    <w:rsid w:val="00475AB0"/>
    <w:rsid w:val="0047602F"/>
    <w:rsid w:val="00476222"/>
    <w:rsid w:val="00476555"/>
    <w:rsid w:val="004767DB"/>
    <w:rsid w:val="0047688A"/>
    <w:rsid w:val="00476DB4"/>
    <w:rsid w:val="004770C4"/>
    <w:rsid w:val="00477C8A"/>
    <w:rsid w:val="00477CB1"/>
    <w:rsid w:val="00477DF5"/>
    <w:rsid w:val="00480264"/>
    <w:rsid w:val="00480466"/>
    <w:rsid w:val="00480771"/>
    <w:rsid w:val="00480BD1"/>
    <w:rsid w:val="00480C5B"/>
    <w:rsid w:val="00480FE9"/>
    <w:rsid w:val="004810E3"/>
    <w:rsid w:val="004811A4"/>
    <w:rsid w:val="00481357"/>
    <w:rsid w:val="00481496"/>
    <w:rsid w:val="004819D3"/>
    <w:rsid w:val="00481BEA"/>
    <w:rsid w:val="00481D96"/>
    <w:rsid w:val="00481FBD"/>
    <w:rsid w:val="004821DF"/>
    <w:rsid w:val="004823B6"/>
    <w:rsid w:val="00482444"/>
    <w:rsid w:val="0048266A"/>
    <w:rsid w:val="0048268F"/>
    <w:rsid w:val="00482895"/>
    <w:rsid w:val="004829C5"/>
    <w:rsid w:val="0048389D"/>
    <w:rsid w:val="004838A2"/>
    <w:rsid w:val="00483BC7"/>
    <w:rsid w:val="00483E2A"/>
    <w:rsid w:val="004841CE"/>
    <w:rsid w:val="00484968"/>
    <w:rsid w:val="004849C5"/>
    <w:rsid w:val="004849F8"/>
    <w:rsid w:val="00484A3D"/>
    <w:rsid w:val="00484C5B"/>
    <w:rsid w:val="00484C84"/>
    <w:rsid w:val="00484FC4"/>
    <w:rsid w:val="00485110"/>
    <w:rsid w:val="004851B9"/>
    <w:rsid w:val="004856F5"/>
    <w:rsid w:val="00485A9F"/>
    <w:rsid w:val="00485E16"/>
    <w:rsid w:val="00485E2B"/>
    <w:rsid w:val="0048602B"/>
    <w:rsid w:val="004862A2"/>
    <w:rsid w:val="00486AC8"/>
    <w:rsid w:val="00487008"/>
    <w:rsid w:val="004872E2"/>
    <w:rsid w:val="0048747D"/>
    <w:rsid w:val="004874FA"/>
    <w:rsid w:val="0048769E"/>
    <w:rsid w:val="004877E0"/>
    <w:rsid w:val="00487AA8"/>
    <w:rsid w:val="00487CBC"/>
    <w:rsid w:val="0049004D"/>
    <w:rsid w:val="004901FA"/>
    <w:rsid w:val="0049048B"/>
    <w:rsid w:val="004904DD"/>
    <w:rsid w:val="0049075E"/>
    <w:rsid w:val="0049097E"/>
    <w:rsid w:val="004909FE"/>
    <w:rsid w:val="00490B1A"/>
    <w:rsid w:val="0049115D"/>
    <w:rsid w:val="004911E8"/>
    <w:rsid w:val="00491815"/>
    <w:rsid w:val="00491ADD"/>
    <w:rsid w:val="00491B01"/>
    <w:rsid w:val="0049203E"/>
    <w:rsid w:val="004928AE"/>
    <w:rsid w:val="00492E40"/>
    <w:rsid w:val="004939D0"/>
    <w:rsid w:val="00493C5C"/>
    <w:rsid w:val="00493FF4"/>
    <w:rsid w:val="00494713"/>
    <w:rsid w:val="00494874"/>
    <w:rsid w:val="00494909"/>
    <w:rsid w:val="00494A1D"/>
    <w:rsid w:val="0049523B"/>
    <w:rsid w:val="00495293"/>
    <w:rsid w:val="00495303"/>
    <w:rsid w:val="00495576"/>
    <w:rsid w:val="0049559E"/>
    <w:rsid w:val="004956EA"/>
    <w:rsid w:val="00495B7D"/>
    <w:rsid w:val="00496071"/>
    <w:rsid w:val="00496432"/>
    <w:rsid w:val="00496910"/>
    <w:rsid w:val="00496B8B"/>
    <w:rsid w:val="00496D28"/>
    <w:rsid w:val="004973C3"/>
    <w:rsid w:val="00497D2A"/>
    <w:rsid w:val="004A1EBC"/>
    <w:rsid w:val="004A2589"/>
    <w:rsid w:val="004A2F40"/>
    <w:rsid w:val="004A326A"/>
    <w:rsid w:val="004A328D"/>
    <w:rsid w:val="004A3412"/>
    <w:rsid w:val="004A3FD1"/>
    <w:rsid w:val="004A42C6"/>
    <w:rsid w:val="004A43EF"/>
    <w:rsid w:val="004A442B"/>
    <w:rsid w:val="004A4582"/>
    <w:rsid w:val="004A46C7"/>
    <w:rsid w:val="004A502D"/>
    <w:rsid w:val="004A5092"/>
    <w:rsid w:val="004A575A"/>
    <w:rsid w:val="004A5EB0"/>
    <w:rsid w:val="004A611E"/>
    <w:rsid w:val="004A6208"/>
    <w:rsid w:val="004A659F"/>
    <w:rsid w:val="004A664D"/>
    <w:rsid w:val="004A669E"/>
    <w:rsid w:val="004A68F3"/>
    <w:rsid w:val="004A6943"/>
    <w:rsid w:val="004A69C3"/>
    <w:rsid w:val="004A6ED5"/>
    <w:rsid w:val="004A7077"/>
    <w:rsid w:val="004A755B"/>
    <w:rsid w:val="004A7596"/>
    <w:rsid w:val="004A7A61"/>
    <w:rsid w:val="004B0070"/>
    <w:rsid w:val="004B00CB"/>
    <w:rsid w:val="004B054C"/>
    <w:rsid w:val="004B0E95"/>
    <w:rsid w:val="004B1360"/>
    <w:rsid w:val="004B13CC"/>
    <w:rsid w:val="004B15C6"/>
    <w:rsid w:val="004B21BB"/>
    <w:rsid w:val="004B23FF"/>
    <w:rsid w:val="004B325B"/>
    <w:rsid w:val="004B3743"/>
    <w:rsid w:val="004B3A3C"/>
    <w:rsid w:val="004B3D74"/>
    <w:rsid w:val="004B3E09"/>
    <w:rsid w:val="004B42ED"/>
    <w:rsid w:val="004B440C"/>
    <w:rsid w:val="004B4943"/>
    <w:rsid w:val="004B4AFC"/>
    <w:rsid w:val="004B4C05"/>
    <w:rsid w:val="004B54B9"/>
    <w:rsid w:val="004B5734"/>
    <w:rsid w:val="004B5E34"/>
    <w:rsid w:val="004B5EB3"/>
    <w:rsid w:val="004B7019"/>
    <w:rsid w:val="004B7461"/>
    <w:rsid w:val="004B7A5D"/>
    <w:rsid w:val="004B7AE6"/>
    <w:rsid w:val="004B7BFB"/>
    <w:rsid w:val="004B7E27"/>
    <w:rsid w:val="004C00F0"/>
    <w:rsid w:val="004C03CE"/>
    <w:rsid w:val="004C0AC9"/>
    <w:rsid w:val="004C0ACD"/>
    <w:rsid w:val="004C0BE3"/>
    <w:rsid w:val="004C0D27"/>
    <w:rsid w:val="004C13D7"/>
    <w:rsid w:val="004C17CE"/>
    <w:rsid w:val="004C17E2"/>
    <w:rsid w:val="004C181B"/>
    <w:rsid w:val="004C1A53"/>
    <w:rsid w:val="004C1B8C"/>
    <w:rsid w:val="004C20D3"/>
    <w:rsid w:val="004C3188"/>
    <w:rsid w:val="004C32B4"/>
    <w:rsid w:val="004C3427"/>
    <w:rsid w:val="004C3A6E"/>
    <w:rsid w:val="004C46F7"/>
    <w:rsid w:val="004C47BB"/>
    <w:rsid w:val="004C4C21"/>
    <w:rsid w:val="004C4E0B"/>
    <w:rsid w:val="004C5413"/>
    <w:rsid w:val="004C5573"/>
    <w:rsid w:val="004C5D98"/>
    <w:rsid w:val="004C5DAB"/>
    <w:rsid w:val="004C6290"/>
    <w:rsid w:val="004C6291"/>
    <w:rsid w:val="004C6321"/>
    <w:rsid w:val="004C6378"/>
    <w:rsid w:val="004C6416"/>
    <w:rsid w:val="004C65A2"/>
    <w:rsid w:val="004C66D5"/>
    <w:rsid w:val="004C6700"/>
    <w:rsid w:val="004C68E5"/>
    <w:rsid w:val="004C6C5D"/>
    <w:rsid w:val="004C7029"/>
    <w:rsid w:val="004C7277"/>
    <w:rsid w:val="004C7381"/>
    <w:rsid w:val="004C7489"/>
    <w:rsid w:val="004C7A41"/>
    <w:rsid w:val="004C7E50"/>
    <w:rsid w:val="004C7F6E"/>
    <w:rsid w:val="004D0025"/>
    <w:rsid w:val="004D01CE"/>
    <w:rsid w:val="004D0274"/>
    <w:rsid w:val="004D03C2"/>
    <w:rsid w:val="004D04CE"/>
    <w:rsid w:val="004D057C"/>
    <w:rsid w:val="004D0930"/>
    <w:rsid w:val="004D0974"/>
    <w:rsid w:val="004D0F47"/>
    <w:rsid w:val="004D1560"/>
    <w:rsid w:val="004D1A08"/>
    <w:rsid w:val="004D1CE5"/>
    <w:rsid w:val="004D1E09"/>
    <w:rsid w:val="004D224A"/>
    <w:rsid w:val="004D2629"/>
    <w:rsid w:val="004D2B17"/>
    <w:rsid w:val="004D2D4F"/>
    <w:rsid w:val="004D3199"/>
    <w:rsid w:val="004D32ED"/>
    <w:rsid w:val="004D3575"/>
    <w:rsid w:val="004D36C9"/>
    <w:rsid w:val="004D3830"/>
    <w:rsid w:val="004D3B74"/>
    <w:rsid w:val="004D3E0F"/>
    <w:rsid w:val="004D419A"/>
    <w:rsid w:val="004D41C5"/>
    <w:rsid w:val="004D424B"/>
    <w:rsid w:val="004D459F"/>
    <w:rsid w:val="004D47DA"/>
    <w:rsid w:val="004D529A"/>
    <w:rsid w:val="004D5854"/>
    <w:rsid w:val="004D5AAB"/>
    <w:rsid w:val="004D6072"/>
    <w:rsid w:val="004D60C8"/>
    <w:rsid w:val="004D61A6"/>
    <w:rsid w:val="004D64D8"/>
    <w:rsid w:val="004D665A"/>
    <w:rsid w:val="004D67F2"/>
    <w:rsid w:val="004D6DF2"/>
    <w:rsid w:val="004D6E12"/>
    <w:rsid w:val="004D764F"/>
    <w:rsid w:val="004D7A53"/>
    <w:rsid w:val="004D7C88"/>
    <w:rsid w:val="004D7FDC"/>
    <w:rsid w:val="004E009A"/>
    <w:rsid w:val="004E022C"/>
    <w:rsid w:val="004E039A"/>
    <w:rsid w:val="004E058B"/>
    <w:rsid w:val="004E0E31"/>
    <w:rsid w:val="004E126E"/>
    <w:rsid w:val="004E1354"/>
    <w:rsid w:val="004E143C"/>
    <w:rsid w:val="004E1603"/>
    <w:rsid w:val="004E16DB"/>
    <w:rsid w:val="004E18F6"/>
    <w:rsid w:val="004E20EF"/>
    <w:rsid w:val="004E23E0"/>
    <w:rsid w:val="004E2D17"/>
    <w:rsid w:val="004E3217"/>
    <w:rsid w:val="004E3342"/>
    <w:rsid w:val="004E35D9"/>
    <w:rsid w:val="004E38C8"/>
    <w:rsid w:val="004E3AD6"/>
    <w:rsid w:val="004E4088"/>
    <w:rsid w:val="004E439D"/>
    <w:rsid w:val="004E442D"/>
    <w:rsid w:val="004E4D24"/>
    <w:rsid w:val="004E4DAE"/>
    <w:rsid w:val="004E5333"/>
    <w:rsid w:val="004E555A"/>
    <w:rsid w:val="004E56D6"/>
    <w:rsid w:val="004E5A39"/>
    <w:rsid w:val="004E5AC9"/>
    <w:rsid w:val="004E5C04"/>
    <w:rsid w:val="004E5FEF"/>
    <w:rsid w:val="004E6098"/>
    <w:rsid w:val="004E60BF"/>
    <w:rsid w:val="004E653D"/>
    <w:rsid w:val="004E696A"/>
    <w:rsid w:val="004E6B60"/>
    <w:rsid w:val="004E6E85"/>
    <w:rsid w:val="004E76FF"/>
    <w:rsid w:val="004E77B7"/>
    <w:rsid w:val="004E7E00"/>
    <w:rsid w:val="004F01C0"/>
    <w:rsid w:val="004F051D"/>
    <w:rsid w:val="004F05E2"/>
    <w:rsid w:val="004F0731"/>
    <w:rsid w:val="004F0C39"/>
    <w:rsid w:val="004F0CD2"/>
    <w:rsid w:val="004F10EA"/>
    <w:rsid w:val="004F1118"/>
    <w:rsid w:val="004F1229"/>
    <w:rsid w:val="004F1A37"/>
    <w:rsid w:val="004F1DEC"/>
    <w:rsid w:val="004F2140"/>
    <w:rsid w:val="004F2174"/>
    <w:rsid w:val="004F2CA7"/>
    <w:rsid w:val="004F2D9F"/>
    <w:rsid w:val="004F301C"/>
    <w:rsid w:val="004F33B0"/>
    <w:rsid w:val="004F33DD"/>
    <w:rsid w:val="004F350A"/>
    <w:rsid w:val="004F39A1"/>
    <w:rsid w:val="004F3A38"/>
    <w:rsid w:val="004F3D42"/>
    <w:rsid w:val="004F3EE8"/>
    <w:rsid w:val="004F3FB3"/>
    <w:rsid w:val="004F3FD3"/>
    <w:rsid w:val="004F466B"/>
    <w:rsid w:val="004F49B0"/>
    <w:rsid w:val="004F4F91"/>
    <w:rsid w:val="004F501C"/>
    <w:rsid w:val="004F50E0"/>
    <w:rsid w:val="004F534A"/>
    <w:rsid w:val="004F5437"/>
    <w:rsid w:val="004F54B7"/>
    <w:rsid w:val="004F5C5E"/>
    <w:rsid w:val="004F62D9"/>
    <w:rsid w:val="004F64D4"/>
    <w:rsid w:val="004F68B6"/>
    <w:rsid w:val="004F6980"/>
    <w:rsid w:val="004F6E2B"/>
    <w:rsid w:val="004F6F4A"/>
    <w:rsid w:val="004F708C"/>
    <w:rsid w:val="004F7170"/>
    <w:rsid w:val="004F770D"/>
    <w:rsid w:val="004F7826"/>
    <w:rsid w:val="004F7992"/>
    <w:rsid w:val="004F7BDE"/>
    <w:rsid w:val="004F7F9F"/>
    <w:rsid w:val="004F7FB4"/>
    <w:rsid w:val="00500894"/>
    <w:rsid w:val="0050096F"/>
    <w:rsid w:val="00500CF9"/>
    <w:rsid w:val="00500F88"/>
    <w:rsid w:val="00501124"/>
    <w:rsid w:val="0050112B"/>
    <w:rsid w:val="00501362"/>
    <w:rsid w:val="00501510"/>
    <w:rsid w:val="005019BC"/>
    <w:rsid w:val="00501A30"/>
    <w:rsid w:val="00501D30"/>
    <w:rsid w:val="00501F2E"/>
    <w:rsid w:val="00502236"/>
    <w:rsid w:val="005023C5"/>
    <w:rsid w:val="0050255C"/>
    <w:rsid w:val="00502597"/>
    <w:rsid w:val="0050274A"/>
    <w:rsid w:val="00502AFA"/>
    <w:rsid w:val="00502D23"/>
    <w:rsid w:val="00502F27"/>
    <w:rsid w:val="005030A5"/>
    <w:rsid w:val="005038C5"/>
    <w:rsid w:val="00503A03"/>
    <w:rsid w:val="00503A78"/>
    <w:rsid w:val="00503CF5"/>
    <w:rsid w:val="005048BF"/>
    <w:rsid w:val="00504EDF"/>
    <w:rsid w:val="00505071"/>
    <w:rsid w:val="005052AB"/>
    <w:rsid w:val="005055CB"/>
    <w:rsid w:val="00505709"/>
    <w:rsid w:val="0050652E"/>
    <w:rsid w:val="005066C3"/>
    <w:rsid w:val="00506776"/>
    <w:rsid w:val="005069AA"/>
    <w:rsid w:val="00506C2E"/>
    <w:rsid w:val="00506E2F"/>
    <w:rsid w:val="00507133"/>
    <w:rsid w:val="005072BE"/>
    <w:rsid w:val="00507532"/>
    <w:rsid w:val="00507C98"/>
    <w:rsid w:val="00507D46"/>
    <w:rsid w:val="0051019F"/>
    <w:rsid w:val="00510A60"/>
    <w:rsid w:val="00510B30"/>
    <w:rsid w:val="00510B84"/>
    <w:rsid w:val="00510DA5"/>
    <w:rsid w:val="00510FEB"/>
    <w:rsid w:val="00511239"/>
    <w:rsid w:val="005113DC"/>
    <w:rsid w:val="005114A5"/>
    <w:rsid w:val="0051151B"/>
    <w:rsid w:val="00511565"/>
    <w:rsid w:val="005115C3"/>
    <w:rsid w:val="005118C4"/>
    <w:rsid w:val="00511C27"/>
    <w:rsid w:val="00511C50"/>
    <w:rsid w:val="00511C9D"/>
    <w:rsid w:val="00511D56"/>
    <w:rsid w:val="00512030"/>
    <w:rsid w:val="0051207A"/>
    <w:rsid w:val="00512175"/>
    <w:rsid w:val="00512924"/>
    <w:rsid w:val="00513030"/>
    <w:rsid w:val="0051323B"/>
    <w:rsid w:val="00513286"/>
    <w:rsid w:val="00513524"/>
    <w:rsid w:val="005139AE"/>
    <w:rsid w:val="00513A21"/>
    <w:rsid w:val="00513E74"/>
    <w:rsid w:val="005142AE"/>
    <w:rsid w:val="00514594"/>
    <w:rsid w:val="005147D0"/>
    <w:rsid w:val="0051481D"/>
    <w:rsid w:val="0051488E"/>
    <w:rsid w:val="00514A56"/>
    <w:rsid w:val="00514BC8"/>
    <w:rsid w:val="00514D94"/>
    <w:rsid w:val="0051529B"/>
    <w:rsid w:val="005158DF"/>
    <w:rsid w:val="00515BF5"/>
    <w:rsid w:val="00515C8E"/>
    <w:rsid w:val="005161F0"/>
    <w:rsid w:val="0051625C"/>
    <w:rsid w:val="005163DE"/>
    <w:rsid w:val="005164BF"/>
    <w:rsid w:val="00516B42"/>
    <w:rsid w:val="00516F35"/>
    <w:rsid w:val="00517102"/>
    <w:rsid w:val="0052000A"/>
    <w:rsid w:val="0052006D"/>
    <w:rsid w:val="005203C0"/>
    <w:rsid w:val="005205B0"/>
    <w:rsid w:val="00520AA3"/>
    <w:rsid w:val="00521163"/>
    <w:rsid w:val="0052117C"/>
    <w:rsid w:val="0052124A"/>
    <w:rsid w:val="0052127B"/>
    <w:rsid w:val="00521727"/>
    <w:rsid w:val="00521990"/>
    <w:rsid w:val="00521DBD"/>
    <w:rsid w:val="00522375"/>
    <w:rsid w:val="005223D8"/>
    <w:rsid w:val="005224CF"/>
    <w:rsid w:val="005238A5"/>
    <w:rsid w:val="00524386"/>
    <w:rsid w:val="005247A4"/>
    <w:rsid w:val="00525735"/>
    <w:rsid w:val="00525B3C"/>
    <w:rsid w:val="00525B98"/>
    <w:rsid w:val="00525C75"/>
    <w:rsid w:val="00525F88"/>
    <w:rsid w:val="005263E9"/>
    <w:rsid w:val="005264ED"/>
    <w:rsid w:val="0052666B"/>
    <w:rsid w:val="00526A75"/>
    <w:rsid w:val="005272C5"/>
    <w:rsid w:val="005279DD"/>
    <w:rsid w:val="00527BC4"/>
    <w:rsid w:val="00527DA6"/>
    <w:rsid w:val="00530172"/>
    <w:rsid w:val="005303B6"/>
    <w:rsid w:val="005303CA"/>
    <w:rsid w:val="005304DC"/>
    <w:rsid w:val="00530835"/>
    <w:rsid w:val="00530B7F"/>
    <w:rsid w:val="005316C7"/>
    <w:rsid w:val="00531AD7"/>
    <w:rsid w:val="00531FA6"/>
    <w:rsid w:val="00532158"/>
    <w:rsid w:val="005322D9"/>
    <w:rsid w:val="005324A3"/>
    <w:rsid w:val="00532A78"/>
    <w:rsid w:val="00532E78"/>
    <w:rsid w:val="00533154"/>
    <w:rsid w:val="005336EA"/>
    <w:rsid w:val="00533D59"/>
    <w:rsid w:val="00533E6A"/>
    <w:rsid w:val="0053433E"/>
    <w:rsid w:val="005347D6"/>
    <w:rsid w:val="00534CBE"/>
    <w:rsid w:val="00534D13"/>
    <w:rsid w:val="00534E2C"/>
    <w:rsid w:val="00534FCF"/>
    <w:rsid w:val="00534FDC"/>
    <w:rsid w:val="00535429"/>
    <w:rsid w:val="005358E4"/>
    <w:rsid w:val="00535C46"/>
    <w:rsid w:val="00535ED1"/>
    <w:rsid w:val="00536633"/>
    <w:rsid w:val="00536C68"/>
    <w:rsid w:val="00536E61"/>
    <w:rsid w:val="00536F81"/>
    <w:rsid w:val="00537BA9"/>
    <w:rsid w:val="00537E55"/>
    <w:rsid w:val="0054022A"/>
    <w:rsid w:val="005403C5"/>
    <w:rsid w:val="005403FF"/>
    <w:rsid w:val="0054058E"/>
    <w:rsid w:val="00540FC1"/>
    <w:rsid w:val="0054129B"/>
    <w:rsid w:val="005415B0"/>
    <w:rsid w:val="0054196F"/>
    <w:rsid w:val="00541A32"/>
    <w:rsid w:val="00541ACA"/>
    <w:rsid w:val="00541C86"/>
    <w:rsid w:val="00541F26"/>
    <w:rsid w:val="0054231A"/>
    <w:rsid w:val="00542648"/>
    <w:rsid w:val="005426B0"/>
    <w:rsid w:val="005427E4"/>
    <w:rsid w:val="00542C73"/>
    <w:rsid w:val="00542E7F"/>
    <w:rsid w:val="00542E99"/>
    <w:rsid w:val="005435B8"/>
    <w:rsid w:val="00543A9F"/>
    <w:rsid w:val="00543BB7"/>
    <w:rsid w:val="00543C51"/>
    <w:rsid w:val="00544526"/>
    <w:rsid w:val="005445C3"/>
    <w:rsid w:val="005445DB"/>
    <w:rsid w:val="0054476D"/>
    <w:rsid w:val="0054507A"/>
    <w:rsid w:val="0054514D"/>
    <w:rsid w:val="005453B8"/>
    <w:rsid w:val="00545418"/>
    <w:rsid w:val="00545914"/>
    <w:rsid w:val="00545AF1"/>
    <w:rsid w:val="00545BFC"/>
    <w:rsid w:val="00545FA6"/>
    <w:rsid w:val="0054642C"/>
    <w:rsid w:val="0054662C"/>
    <w:rsid w:val="0054692D"/>
    <w:rsid w:val="00546BC0"/>
    <w:rsid w:val="00546C95"/>
    <w:rsid w:val="00546CDD"/>
    <w:rsid w:val="005470EA"/>
    <w:rsid w:val="00547336"/>
    <w:rsid w:val="00547780"/>
    <w:rsid w:val="005477D0"/>
    <w:rsid w:val="00547A8A"/>
    <w:rsid w:val="00550045"/>
    <w:rsid w:val="00550067"/>
    <w:rsid w:val="0055030D"/>
    <w:rsid w:val="0055032A"/>
    <w:rsid w:val="005505F3"/>
    <w:rsid w:val="00550686"/>
    <w:rsid w:val="005506F4"/>
    <w:rsid w:val="00550884"/>
    <w:rsid w:val="005512B9"/>
    <w:rsid w:val="00551541"/>
    <w:rsid w:val="00551554"/>
    <w:rsid w:val="00551729"/>
    <w:rsid w:val="00551790"/>
    <w:rsid w:val="0055221F"/>
    <w:rsid w:val="0055224A"/>
    <w:rsid w:val="0055239E"/>
    <w:rsid w:val="005524BA"/>
    <w:rsid w:val="0055276C"/>
    <w:rsid w:val="00552BAF"/>
    <w:rsid w:val="00552D25"/>
    <w:rsid w:val="00553A4F"/>
    <w:rsid w:val="00553B0E"/>
    <w:rsid w:val="00553B88"/>
    <w:rsid w:val="00553C70"/>
    <w:rsid w:val="00553F9A"/>
    <w:rsid w:val="005545D1"/>
    <w:rsid w:val="005548BD"/>
    <w:rsid w:val="00554C5B"/>
    <w:rsid w:val="00555879"/>
    <w:rsid w:val="00555AD2"/>
    <w:rsid w:val="00555CF4"/>
    <w:rsid w:val="0055633C"/>
    <w:rsid w:val="005567D4"/>
    <w:rsid w:val="00556A6F"/>
    <w:rsid w:val="00556C83"/>
    <w:rsid w:val="00556C95"/>
    <w:rsid w:val="00556D5A"/>
    <w:rsid w:val="00557002"/>
    <w:rsid w:val="00557026"/>
    <w:rsid w:val="00557112"/>
    <w:rsid w:val="0055714D"/>
    <w:rsid w:val="005573E2"/>
    <w:rsid w:val="0055757C"/>
    <w:rsid w:val="00557C19"/>
    <w:rsid w:val="00557E18"/>
    <w:rsid w:val="0056035E"/>
    <w:rsid w:val="005604AB"/>
    <w:rsid w:val="005605FD"/>
    <w:rsid w:val="00560F03"/>
    <w:rsid w:val="00561AFE"/>
    <w:rsid w:val="00561D93"/>
    <w:rsid w:val="005624B7"/>
    <w:rsid w:val="005625F5"/>
    <w:rsid w:val="005629B1"/>
    <w:rsid w:val="005629F0"/>
    <w:rsid w:val="00562A08"/>
    <w:rsid w:val="00562B4F"/>
    <w:rsid w:val="00562F47"/>
    <w:rsid w:val="00563149"/>
    <w:rsid w:val="0056341E"/>
    <w:rsid w:val="00563717"/>
    <w:rsid w:val="0056374C"/>
    <w:rsid w:val="00563C9F"/>
    <w:rsid w:val="0056408B"/>
    <w:rsid w:val="00564238"/>
    <w:rsid w:val="00564853"/>
    <w:rsid w:val="005651B1"/>
    <w:rsid w:val="005653E5"/>
    <w:rsid w:val="00565516"/>
    <w:rsid w:val="005655E9"/>
    <w:rsid w:val="00565628"/>
    <w:rsid w:val="00565929"/>
    <w:rsid w:val="005659E6"/>
    <w:rsid w:val="005660CE"/>
    <w:rsid w:val="005662CA"/>
    <w:rsid w:val="005664CB"/>
    <w:rsid w:val="005667CA"/>
    <w:rsid w:val="0056683A"/>
    <w:rsid w:val="00566C49"/>
    <w:rsid w:val="00566D4B"/>
    <w:rsid w:val="0056719D"/>
    <w:rsid w:val="0056769B"/>
    <w:rsid w:val="00567CCF"/>
    <w:rsid w:val="00567E18"/>
    <w:rsid w:val="0057022D"/>
    <w:rsid w:val="005702E2"/>
    <w:rsid w:val="00570459"/>
    <w:rsid w:val="00570900"/>
    <w:rsid w:val="00570B70"/>
    <w:rsid w:val="00570B72"/>
    <w:rsid w:val="00570BDA"/>
    <w:rsid w:val="00570FD4"/>
    <w:rsid w:val="0057133F"/>
    <w:rsid w:val="005713F6"/>
    <w:rsid w:val="00571F10"/>
    <w:rsid w:val="00571FB6"/>
    <w:rsid w:val="00572662"/>
    <w:rsid w:val="00572700"/>
    <w:rsid w:val="00572958"/>
    <w:rsid w:val="005732CD"/>
    <w:rsid w:val="0057364A"/>
    <w:rsid w:val="0057385B"/>
    <w:rsid w:val="00573A04"/>
    <w:rsid w:val="00574141"/>
    <w:rsid w:val="0057414D"/>
    <w:rsid w:val="005746DC"/>
    <w:rsid w:val="00574756"/>
    <w:rsid w:val="00574966"/>
    <w:rsid w:val="00574B4E"/>
    <w:rsid w:val="00574DA1"/>
    <w:rsid w:val="00575E54"/>
    <w:rsid w:val="00576165"/>
    <w:rsid w:val="0057638C"/>
    <w:rsid w:val="005766D1"/>
    <w:rsid w:val="0057672B"/>
    <w:rsid w:val="005768D9"/>
    <w:rsid w:val="00576B05"/>
    <w:rsid w:val="00576BC4"/>
    <w:rsid w:val="00576DF8"/>
    <w:rsid w:val="00577367"/>
    <w:rsid w:val="005773FF"/>
    <w:rsid w:val="005774FA"/>
    <w:rsid w:val="005775F4"/>
    <w:rsid w:val="005779A8"/>
    <w:rsid w:val="00577DA4"/>
    <w:rsid w:val="00577EDE"/>
    <w:rsid w:val="0058029B"/>
    <w:rsid w:val="005805E8"/>
    <w:rsid w:val="00580ACE"/>
    <w:rsid w:val="00580B15"/>
    <w:rsid w:val="00580E44"/>
    <w:rsid w:val="00580F96"/>
    <w:rsid w:val="005817F6"/>
    <w:rsid w:val="00581968"/>
    <w:rsid w:val="00581CB4"/>
    <w:rsid w:val="00581EA6"/>
    <w:rsid w:val="005822E2"/>
    <w:rsid w:val="0058238A"/>
    <w:rsid w:val="00582418"/>
    <w:rsid w:val="00582764"/>
    <w:rsid w:val="005828D8"/>
    <w:rsid w:val="00582A2E"/>
    <w:rsid w:val="00582A46"/>
    <w:rsid w:val="00582AD4"/>
    <w:rsid w:val="00582BF7"/>
    <w:rsid w:val="00582CC9"/>
    <w:rsid w:val="005833BF"/>
    <w:rsid w:val="00583C05"/>
    <w:rsid w:val="005843E6"/>
    <w:rsid w:val="00584432"/>
    <w:rsid w:val="005844B1"/>
    <w:rsid w:val="00584A66"/>
    <w:rsid w:val="00584BCF"/>
    <w:rsid w:val="00584E18"/>
    <w:rsid w:val="005852DC"/>
    <w:rsid w:val="0058533A"/>
    <w:rsid w:val="00585535"/>
    <w:rsid w:val="0058566E"/>
    <w:rsid w:val="00585672"/>
    <w:rsid w:val="00585AA4"/>
    <w:rsid w:val="00585BCB"/>
    <w:rsid w:val="00585D1F"/>
    <w:rsid w:val="00585D3F"/>
    <w:rsid w:val="00586197"/>
    <w:rsid w:val="0058653F"/>
    <w:rsid w:val="00586541"/>
    <w:rsid w:val="00586562"/>
    <w:rsid w:val="00586B29"/>
    <w:rsid w:val="00586C37"/>
    <w:rsid w:val="00586FF4"/>
    <w:rsid w:val="0058707F"/>
    <w:rsid w:val="005873EB"/>
    <w:rsid w:val="00587535"/>
    <w:rsid w:val="00587882"/>
    <w:rsid w:val="00587F4C"/>
    <w:rsid w:val="0059015F"/>
    <w:rsid w:val="0059033B"/>
    <w:rsid w:val="0059059C"/>
    <w:rsid w:val="00590A16"/>
    <w:rsid w:val="00590B77"/>
    <w:rsid w:val="00590E16"/>
    <w:rsid w:val="00590ED2"/>
    <w:rsid w:val="0059142D"/>
    <w:rsid w:val="00591683"/>
    <w:rsid w:val="005916C0"/>
    <w:rsid w:val="005916E3"/>
    <w:rsid w:val="005916E8"/>
    <w:rsid w:val="00592529"/>
    <w:rsid w:val="0059277D"/>
    <w:rsid w:val="005934E2"/>
    <w:rsid w:val="005939BA"/>
    <w:rsid w:val="00593C0E"/>
    <w:rsid w:val="00593E89"/>
    <w:rsid w:val="0059413A"/>
    <w:rsid w:val="0059423C"/>
    <w:rsid w:val="005943BF"/>
    <w:rsid w:val="0059440C"/>
    <w:rsid w:val="00594D42"/>
    <w:rsid w:val="00594DAC"/>
    <w:rsid w:val="005955BF"/>
    <w:rsid w:val="00595DE2"/>
    <w:rsid w:val="0059641E"/>
    <w:rsid w:val="00596694"/>
    <w:rsid w:val="00596DD6"/>
    <w:rsid w:val="00596E38"/>
    <w:rsid w:val="005974B7"/>
    <w:rsid w:val="0059794F"/>
    <w:rsid w:val="00597993"/>
    <w:rsid w:val="00597CD2"/>
    <w:rsid w:val="005A10D1"/>
    <w:rsid w:val="005A140D"/>
    <w:rsid w:val="005A1FCE"/>
    <w:rsid w:val="005A2103"/>
    <w:rsid w:val="005A2270"/>
    <w:rsid w:val="005A2A22"/>
    <w:rsid w:val="005A3091"/>
    <w:rsid w:val="005A3212"/>
    <w:rsid w:val="005A355A"/>
    <w:rsid w:val="005A3593"/>
    <w:rsid w:val="005A38F1"/>
    <w:rsid w:val="005A3C6E"/>
    <w:rsid w:val="005A3DCF"/>
    <w:rsid w:val="005A4221"/>
    <w:rsid w:val="005A43DD"/>
    <w:rsid w:val="005A464C"/>
    <w:rsid w:val="005A4A84"/>
    <w:rsid w:val="005A50CF"/>
    <w:rsid w:val="005A53CF"/>
    <w:rsid w:val="005A5448"/>
    <w:rsid w:val="005A5902"/>
    <w:rsid w:val="005A5908"/>
    <w:rsid w:val="005A591C"/>
    <w:rsid w:val="005A5A06"/>
    <w:rsid w:val="005A62D6"/>
    <w:rsid w:val="005A6423"/>
    <w:rsid w:val="005A6C3F"/>
    <w:rsid w:val="005A6CE8"/>
    <w:rsid w:val="005A6FA8"/>
    <w:rsid w:val="005A6FE8"/>
    <w:rsid w:val="005A7164"/>
    <w:rsid w:val="005A75FE"/>
    <w:rsid w:val="005A7679"/>
    <w:rsid w:val="005A7972"/>
    <w:rsid w:val="005A7D5F"/>
    <w:rsid w:val="005B0342"/>
    <w:rsid w:val="005B0374"/>
    <w:rsid w:val="005B06D5"/>
    <w:rsid w:val="005B0769"/>
    <w:rsid w:val="005B0924"/>
    <w:rsid w:val="005B0DE1"/>
    <w:rsid w:val="005B111D"/>
    <w:rsid w:val="005B15D5"/>
    <w:rsid w:val="005B167D"/>
    <w:rsid w:val="005B16AD"/>
    <w:rsid w:val="005B1C10"/>
    <w:rsid w:val="005B2051"/>
    <w:rsid w:val="005B22A6"/>
    <w:rsid w:val="005B2411"/>
    <w:rsid w:val="005B248B"/>
    <w:rsid w:val="005B2AAF"/>
    <w:rsid w:val="005B396B"/>
    <w:rsid w:val="005B3C5B"/>
    <w:rsid w:val="005B3F72"/>
    <w:rsid w:val="005B3F9A"/>
    <w:rsid w:val="005B40D2"/>
    <w:rsid w:val="005B4547"/>
    <w:rsid w:val="005B4899"/>
    <w:rsid w:val="005B4DA6"/>
    <w:rsid w:val="005B5012"/>
    <w:rsid w:val="005B548A"/>
    <w:rsid w:val="005B5C14"/>
    <w:rsid w:val="005B5C3E"/>
    <w:rsid w:val="005B5D47"/>
    <w:rsid w:val="005B65DC"/>
    <w:rsid w:val="005B66D8"/>
    <w:rsid w:val="005B6A5A"/>
    <w:rsid w:val="005B725C"/>
    <w:rsid w:val="005B739B"/>
    <w:rsid w:val="005B7C96"/>
    <w:rsid w:val="005B7DEE"/>
    <w:rsid w:val="005C0213"/>
    <w:rsid w:val="005C07DF"/>
    <w:rsid w:val="005C07F7"/>
    <w:rsid w:val="005C0888"/>
    <w:rsid w:val="005C0DC2"/>
    <w:rsid w:val="005C159C"/>
    <w:rsid w:val="005C1875"/>
    <w:rsid w:val="005C1C09"/>
    <w:rsid w:val="005C24B6"/>
    <w:rsid w:val="005C2900"/>
    <w:rsid w:val="005C2C3C"/>
    <w:rsid w:val="005C2E7E"/>
    <w:rsid w:val="005C3492"/>
    <w:rsid w:val="005C36FD"/>
    <w:rsid w:val="005C3A0D"/>
    <w:rsid w:val="005C3F64"/>
    <w:rsid w:val="005C3F7E"/>
    <w:rsid w:val="005C4251"/>
    <w:rsid w:val="005C43E7"/>
    <w:rsid w:val="005C4B66"/>
    <w:rsid w:val="005C540C"/>
    <w:rsid w:val="005C546F"/>
    <w:rsid w:val="005C5E8D"/>
    <w:rsid w:val="005C60AE"/>
    <w:rsid w:val="005C6201"/>
    <w:rsid w:val="005C68B2"/>
    <w:rsid w:val="005C753A"/>
    <w:rsid w:val="005D09C4"/>
    <w:rsid w:val="005D0A07"/>
    <w:rsid w:val="005D0B1F"/>
    <w:rsid w:val="005D0BED"/>
    <w:rsid w:val="005D0C96"/>
    <w:rsid w:val="005D0FBF"/>
    <w:rsid w:val="005D1563"/>
    <w:rsid w:val="005D172A"/>
    <w:rsid w:val="005D189F"/>
    <w:rsid w:val="005D1C4A"/>
    <w:rsid w:val="005D23A8"/>
    <w:rsid w:val="005D24EB"/>
    <w:rsid w:val="005D2B01"/>
    <w:rsid w:val="005D2BF0"/>
    <w:rsid w:val="005D2E00"/>
    <w:rsid w:val="005D2E2F"/>
    <w:rsid w:val="005D2EE0"/>
    <w:rsid w:val="005D2F7E"/>
    <w:rsid w:val="005D30CB"/>
    <w:rsid w:val="005D3105"/>
    <w:rsid w:val="005D3642"/>
    <w:rsid w:val="005D3785"/>
    <w:rsid w:val="005D3A8E"/>
    <w:rsid w:val="005D3B85"/>
    <w:rsid w:val="005D3CE3"/>
    <w:rsid w:val="005D429E"/>
    <w:rsid w:val="005D4468"/>
    <w:rsid w:val="005D52C5"/>
    <w:rsid w:val="005D5435"/>
    <w:rsid w:val="005D549E"/>
    <w:rsid w:val="005D5736"/>
    <w:rsid w:val="005D59FF"/>
    <w:rsid w:val="005D5E24"/>
    <w:rsid w:val="005D606D"/>
    <w:rsid w:val="005D635E"/>
    <w:rsid w:val="005D65CC"/>
    <w:rsid w:val="005D6652"/>
    <w:rsid w:val="005D6789"/>
    <w:rsid w:val="005D67E1"/>
    <w:rsid w:val="005D6A28"/>
    <w:rsid w:val="005D6FAD"/>
    <w:rsid w:val="005D6FCE"/>
    <w:rsid w:val="005D7189"/>
    <w:rsid w:val="005D75DD"/>
    <w:rsid w:val="005D7791"/>
    <w:rsid w:val="005E07BC"/>
    <w:rsid w:val="005E07D2"/>
    <w:rsid w:val="005E093C"/>
    <w:rsid w:val="005E1174"/>
    <w:rsid w:val="005E172D"/>
    <w:rsid w:val="005E2015"/>
    <w:rsid w:val="005E20D8"/>
    <w:rsid w:val="005E2DDE"/>
    <w:rsid w:val="005E3310"/>
    <w:rsid w:val="005E35F9"/>
    <w:rsid w:val="005E405F"/>
    <w:rsid w:val="005E49E7"/>
    <w:rsid w:val="005E4D18"/>
    <w:rsid w:val="005E4DF3"/>
    <w:rsid w:val="005E4F3D"/>
    <w:rsid w:val="005E5370"/>
    <w:rsid w:val="005E5693"/>
    <w:rsid w:val="005E5C46"/>
    <w:rsid w:val="005E5EDC"/>
    <w:rsid w:val="005E5F32"/>
    <w:rsid w:val="005E6430"/>
    <w:rsid w:val="005E64AD"/>
    <w:rsid w:val="005E6897"/>
    <w:rsid w:val="005E6F85"/>
    <w:rsid w:val="005E77D7"/>
    <w:rsid w:val="005E7885"/>
    <w:rsid w:val="005E793D"/>
    <w:rsid w:val="005E7B82"/>
    <w:rsid w:val="005E7F13"/>
    <w:rsid w:val="005F00F5"/>
    <w:rsid w:val="005F0400"/>
    <w:rsid w:val="005F0548"/>
    <w:rsid w:val="005F096C"/>
    <w:rsid w:val="005F0F30"/>
    <w:rsid w:val="005F12F4"/>
    <w:rsid w:val="005F1777"/>
    <w:rsid w:val="005F1979"/>
    <w:rsid w:val="005F1CCB"/>
    <w:rsid w:val="005F1CE5"/>
    <w:rsid w:val="005F1E5F"/>
    <w:rsid w:val="005F1F7F"/>
    <w:rsid w:val="005F2302"/>
    <w:rsid w:val="005F2673"/>
    <w:rsid w:val="005F3AC3"/>
    <w:rsid w:val="005F3D7B"/>
    <w:rsid w:val="005F3FE9"/>
    <w:rsid w:val="005F4061"/>
    <w:rsid w:val="005F4190"/>
    <w:rsid w:val="005F460A"/>
    <w:rsid w:val="005F4895"/>
    <w:rsid w:val="005F4C84"/>
    <w:rsid w:val="005F4E4C"/>
    <w:rsid w:val="005F589A"/>
    <w:rsid w:val="005F5F79"/>
    <w:rsid w:val="005F6523"/>
    <w:rsid w:val="005F690F"/>
    <w:rsid w:val="005F6B1B"/>
    <w:rsid w:val="005F718C"/>
    <w:rsid w:val="005F7230"/>
    <w:rsid w:val="005F74F9"/>
    <w:rsid w:val="005F798C"/>
    <w:rsid w:val="005F7D25"/>
    <w:rsid w:val="005F7E71"/>
    <w:rsid w:val="006000AD"/>
    <w:rsid w:val="006003D8"/>
    <w:rsid w:val="00600646"/>
    <w:rsid w:val="00600B3F"/>
    <w:rsid w:val="00600FFE"/>
    <w:rsid w:val="0060125C"/>
    <w:rsid w:val="00601785"/>
    <w:rsid w:val="00601A88"/>
    <w:rsid w:val="00601CF2"/>
    <w:rsid w:val="00601DFF"/>
    <w:rsid w:val="006024DA"/>
    <w:rsid w:val="0060257D"/>
    <w:rsid w:val="0060317C"/>
    <w:rsid w:val="006033A3"/>
    <w:rsid w:val="006034E9"/>
    <w:rsid w:val="00603B3C"/>
    <w:rsid w:val="00604C8B"/>
    <w:rsid w:val="00604F35"/>
    <w:rsid w:val="006050D7"/>
    <w:rsid w:val="006054DC"/>
    <w:rsid w:val="00605549"/>
    <w:rsid w:val="006055ED"/>
    <w:rsid w:val="006056DE"/>
    <w:rsid w:val="00605840"/>
    <w:rsid w:val="006059EC"/>
    <w:rsid w:val="00605D75"/>
    <w:rsid w:val="00605F7E"/>
    <w:rsid w:val="006061C7"/>
    <w:rsid w:val="00606432"/>
    <w:rsid w:val="00606642"/>
    <w:rsid w:val="006066C0"/>
    <w:rsid w:val="00606739"/>
    <w:rsid w:val="00606A28"/>
    <w:rsid w:val="00606B75"/>
    <w:rsid w:val="00606B85"/>
    <w:rsid w:val="00606C88"/>
    <w:rsid w:val="00606DAF"/>
    <w:rsid w:val="00607599"/>
    <w:rsid w:val="00607A8F"/>
    <w:rsid w:val="00607D9C"/>
    <w:rsid w:val="00607DE4"/>
    <w:rsid w:val="00610298"/>
    <w:rsid w:val="00610D30"/>
    <w:rsid w:val="00610E99"/>
    <w:rsid w:val="0061111F"/>
    <w:rsid w:val="006111B1"/>
    <w:rsid w:val="006111B6"/>
    <w:rsid w:val="006113D1"/>
    <w:rsid w:val="00611518"/>
    <w:rsid w:val="00611795"/>
    <w:rsid w:val="0061199F"/>
    <w:rsid w:val="00611BDC"/>
    <w:rsid w:val="00611CAA"/>
    <w:rsid w:val="00611D44"/>
    <w:rsid w:val="00611E78"/>
    <w:rsid w:val="00611F69"/>
    <w:rsid w:val="00612021"/>
    <w:rsid w:val="006123B0"/>
    <w:rsid w:val="00612534"/>
    <w:rsid w:val="00612555"/>
    <w:rsid w:val="00612833"/>
    <w:rsid w:val="00612A6D"/>
    <w:rsid w:val="00612BB6"/>
    <w:rsid w:val="006131D8"/>
    <w:rsid w:val="0061352C"/>
    <w:rsid w:val="00613DFC"/>
    <w:rsid w:val="006141CA"/>
    <w:rsid w:val="006141F6"/>
    <w:rsid w:val="00614212"/>
    <w:rsid w:val="00614680"/>
    <w:rsid w:val="0061476A"/>
    <w:rsid w:val="00614998"/>
    <w:rsid w:val="00614E98"/>
    <w:rsid w:val="00614F93"/>
    <w:rsid w:val="00614FDB"/>
    <w:rsid w:val="00615419"/>
    <w:rsid w:val="006157CB"/>
    <w:rsid w:val="006159F4"/>
    <w:rsid w:val="00615A9E"/>
    <w:rsid w:val="006161E4"/>
    <w:rsid w:val="00616254"/>
    <w:rsid w:val="00616558"/>
    <w:rsid w:val="006165E8"/>
    <w:rsid w:val="006166FF"/>
    <w:rsid w:val="00616A65"/>
    <w:rsid w:val="00616A91"/>
    <w:rsid w:val="00616AB4"/>
    <w:rsid w:val="00616B98"/>
    <w:rsid w:val="00616C52"/>
    <w:rsid w:val="00616EC6"/>
    <w:rsid w:val="0061703D"/>
    <w:rsid w:val="006171E9"/>
    <w:rsid w:val="006175A0"/>
    <w:rsid w:val="00617600"/>
    <w:rsid w:val="00617EE1"/>
    <w:rsid w:val="00620129"/>
    <w:rsid w:val="00620653"/>
    <w:rsid w:val="00620790"/>
    <w:rsid w:val="00620840"/>
    <w:rsid w:val="0062097A"/>
    <w:rsid w:val="00621171"/>
    <w:rsid w:val="00621533"/>
    <w:rsid w:val="006217D6"/>
    <w:rsid w:val="00621831"/>
    <w:rsid w:val="0062186B"/>
    <w:rsid w:val="0062191E"/>
    <w:rsid w:val="00621999"/>
    <w:rsid w:val="00621A7B"/>
    <w:rsid w:val="00621B9F"/>
    <w:rsid w:val="00621C89"/>
    <w:rsid w:val="00621D76"/>
    <w:rsid w:val="00621E0C"/>
    <w:rsid w:val="006224EC"/>
    <w:rsid w:val="00622556"/>
    <w:rsid w:val="0062287C"/>
    <w:rsid w:val="00622EA7"/>
    <w:rsid w:val="00622FD9"/>
    <w:rsid w:val="0062312D"/>
    <w:rsid w:val="0062312E"/>
    <w:rsid w:val="0062319D"/>
    <w:rsid w:val="00623276"/>
    <w:rsid w:val="00623B64"/>
    <w:rsid w:val="00623EDD"/>
    <w:rsid w:val="0062410B"/>
    <w:rsid w:val="00624181"/>
    <w:rsid w:val="00624245"/>
    <w:rsid w:val="0062430A"/>
    <w:rsid w:val="0062464F"/>
    <w:rsid w:val="00624E95"/>
    <w:rsid w:val="0062532B"/>
    <w:rsid w:val="006255A9"/>
    <w:rsid w:val="00625633"/>
    <w:rsid w:val="00625920"/>
    <w:rsid w:val="00625E0D"/>
    <w:rsid w:val="00625EB3"/>
    <w:rsid w:val="0062616D"/>
    <w:rsid w:val="0062632A"/>
    <w:rsid w:val="00626482"/>
    <w:rsid w:val="00627340"/>
    <w:rsid w:val="00627424"/>
    <w:rsid w:val="0062768A"/>
    <w:rsid w:val="006276E0"/>
    <w:rsid w:val="00627759"/>
    <w:rsid w:val="00627999"/>
    <w:rsid w:val="00627A64"/>
    <w:rsid w:val="00627BB5"/>
    <w:rsid w:val="00627E23"/>
    <w:rsid w:val="00627EB8"/>
    <w:rsid w:val="00627ECA"/>
    <w:rsid w:val="006301ED"/>
    <w:rsid w:val="006307FF"/>
    <w:rsid w:val="00630822"/>
    <w:rsid w:val="00630961"/>
    <w:rsid w:val="006309EE"/>
    <w:rsid w:val="00630B1B"/>
    <w:rsid w:val="00630C29"/>
    <w:rsid w:val="00630CDD"/>
    <w:rsid w:val="00630D1A"/>
    <w:rsid w:val="0063106F"/>
    <w:rsid w:val="0063108F"/>
    <w:rsid w:val="0063144E"/>
    <w:rsid w:val="006317B5"/>
    <w:rsid w:val="00631965"/>
    <w:rsid w:val="00631C51"/>
    <w:rsid w:val="00631C5E"/>
    <w:rsid w:val="00631D2D"/>
    <w:rsid w:val="00631EA0"/>
    <w:rsid w:val="00631FBD"/>
    <w:rsid w:val="006325CD"/>
    <w:rsid w:val="006326E6"/>
    <w:rsid w:val="00632998"/>
    <w:rsid w:val="00632AC6"/>
    <w:rsid w:val="00632B47"/>
    <w:rsid w:val="00633000"/>
    <w:rsid w:val="0063333E"/>
    <w:rsid w:val="00633B4F"/>
    <w:rsid w:val="00633CD7"/>
    <w:rsid w:val="00633D5F"/>
    <w:rsid w:val="00634151"/>
    <w:rsid w:val="00634391"/>
    <w:rsid w:val="006343B0"/>
    <w:rsid w:val="00634542"/>
    <w:rsid w:val="00635073"/>
    <w:rsid w:val="00635790"/>
    <w:rsid w:val="00635AB2"/>
    <w:rsid w:val="006361FB"/>
    <w:rsid w:val="00636419"/>
    <w:rsid w:val="0063653C"/>
    <w:rsid w:val="00636CB2"/>
    <w:rsid w:val="00637577"/>
    <w:rsid w:val="006375A4"/>
    <w:rsid w:val="00637BF6"/>
    <w:rsid w:val="00637F5D"/>
    <w:rsid w:val="00640111"/>
    <w:rsid w:val="006406CC"/>
    <w:rsid w:val="00641231"/>
    <w:rsid w:val="00641473"/>
    <w:rsid w:val="006416A2"/>
    <w:rsid w:val="00641B5D"/>
    <w:rsid w:val="00641C42"/>
    <w:rsid w:val="00641DB5"/>
    <w:rsid w:val="00642136"/>
    <w:rsid w:val="006422B5"/>
    <w:rsid w:val="006422EB"/>
    <w:rsid w:val="00642476"/>
    <w:rsid w:val="00642783"/>
    <w:rsid w:val="00642BF8"/>
    <w:rsid w:val="00642FC7"/>
    <w:rsid w:val="006431D2"/>
    <w:rsid w:val="00643434"/>
    <w:rsid w:val="00643BBA"/>
    <w:rsid w:val="00644097"/>
    <w:rsid w:val="006441AA"/>
    <w:rsid w:val="00644748"/>
    <w:rsid w:val="00644CA2"/>
    <w:rsid w:val="0064586E"/>
    <w:rsid w:val="00645BEB"/>
    <w:rsid w:val="00645D43"/>
    <w:rsid w:val="0064632A"/>
    <w:rsid w:val="006464C5"/>
    <w:rsid w:val="0064658F"/>
    <w:rsid w:val="00646ADA"/>
    <w:rsid w:val="00646AFB"/>
    <w:rsid w:val="00646C72"/>
    <w:rsid w:val="00646D86"/>
    <w:rsid w:val="00646FD8"/>
    <w:rsid w:val="00647734"/>
    <w:rsid w:val="00647A8D"/>
    <w:rsid w:val="00647B62"/>
    <w:rsid w:val="0065080D"/>
    <w:rsid w:val="00650891"/>
    <w:rsid w:val="00650CEE"/>
    <w:rsid w:val="0065116A"/>
    <w:rsid w:val="00651285"/>
    <w:rsid w:val="006514ED"/>
    <w:rsid w:val="006516E6"/>
    <w:rsid w:val="006519A4"/>
    <w:rsid w:val="00651AC6"/>
    <w:rsid w:val="00651D2A"/>
    <w:rsid w:val="00651E13"/>
    <w:rsid w:val="006526EE"/>
    <w:rsid w:val="006528F2"/>
    <w:rsid w:val="00652A67"/>
    <w:rsid w:val="00652CB1"/>
    <w:rsid w:val="00653264"/>
    <w:rsid w:val="006535CF"/>
    <w:rsid w:val="006539B5"/>
    <w:rsid w:val="00654531"/>
    <w:rsid w:val="0065455F"/>
    <w:rsid w:val="006549FA"/>
    <w:rsid w:val="00654A14"/>
    <w:rsid w:val="00654DC5"/>
    <w:rsid w:val="0065507B"/>
    <w:rsid w:val="006551D2"/>
    <w:rsid w:val="0065593D"/>
    <w:rsid w:val="00655A2E"/>
    <w:rsid w:val="00655B37"/>
    <w:rsid w:val="00655F22"/>
    <w:rsid w:val="00656456"/>
    <w:rsid w:val="00656CBE"/>
    <w:rsid w:val="00657569"/>
    <w:rsid w:val="0065775B"/>
    <w:rsid w:val="006579FB"/>
    <w:rsid w:val="00657AFB"/>
    <w:rsid w:val="0066005A"/>
    <w:rsid w:val="0066029F"/>
    <w:rsid w:val="006605C7"/>
    <w:rsid w:val="00660B45"/>
    <w:rsid w:val="00660C06"/>
    <w:rsid w:val="00660D25"/>
    <w:rsid w:val="00660F00"/>
    <w:rsid w:val="00660FF2"/>
    <w:rsid w:val="00661058"/>
    <w:rsid w:val="00661077"/>
    <w:rsid w:val="006612F5"/>
    <w:rsid w:val="0066137A"/>
    <w:rsid w:val="00661880"/>
    <w:rsid w:val="00661B21"/>
    <w:rsid w:val="00662B8D"/>
    <w:rsid w:val="006646A2"/>
    <w:rsid w:val="00664B18"/>
    <w:rsid w:val="00664BE8"/>
    <w:rsid w:val="00664CDC"/>
    <w:rsid w:val="00665068"/>
    <w:rsid w:val="006651B8"/>
    <w:rsid w:val="006653C4"/>
    <w:rsid w:val="0066547A"/>
    <w:rsid w:val="00665B70"/>
    <w:rsid w:val="00665CD4"/>
    <w:rsid w:val="00666609"/>
    <w:rsid w:val="00666646"/>
    <w:rsid w:val="006666E0"/>
    <w:rsid w:val="00666987"/>
    <w:rsid w:val="00666A82"/>
    <w:rsid w:val="00667593"/>
    <w:rsid w:val="00667905"/>
    <w:rsid w:val="00667AA0"/>
    <w:rsid w:val="00667B44"/>
    <w:rsid w:val="00667D56"/>
    <w:rsid w:val="0067061D"/>
    <w:rsid w:val="00670922"/>
    <w:rsid w:val="00670CF9"/>
    <w:rsid w:val="00670E09"/>
    <w:rsid w:val="00670E39"/>
    <w:rsid w:val="006712E9"/>
    <w:rsid w:val="00671373"/>
    <w:rsid w:val="006715A8"/>
    <w:rsid w:val="006715C9"/>
    <w:rsid w:val="00671B06"/>
    <w:rsid w:val="00671C94"/>
    <w:rsid w:val="006721FF"/>
    <w:rsid w:val="00672CF2"/>
    <w:rsid w:val="00672D56"/>
    <w:rsid w:val="006737F0"/>
    <w:rsid w:val="0067389B"/>
    <w:rsid w:val="00673F9E"/>
    <w:rsid w:val="0067444B"/>
    <w:rsid w:val="0067456C"/>
    <w:rsid w:val="0067462D"/>
    <w:rsid w:val="00674871"/>
    <w:rsid w:val="00675777"/>
    <w:rsid w:val="00675A3A"/>
    <w:rsid w:val="00675D07"/>
    <w:rsid w:val="0067638F"/>
    <w:rsid w:val="00676B18"/>
    <w:rsid w:val="0067738D"/>
    <w:rsid w:val="00677A73"/>
    <w:rsid w:val="00677A7F"/>
    <w:rsid w:val="00677C9D"/>
    <w:rsid w:val="00677D61"/>
    <w:rsid w:val="006801D0"/>
    <w:rsid w:val="00680344"/>
    <w:rsid w:val="006803B2"/>
    <w:rsid w:val="0068040E"/>
    <w:rsid w:val="006805B1"/>
    <w:rsid w:val="00680693"/>
    <w:rsid w:val="00680F04"/>
    <w:rsid w:val="00681254"/>
    <w:rsid w:val="006813B3"/>
    <w:rsid w:val="006814DF"/>
    <w:rsid w:val="00681A3C"/>
    <w:rsid w:val="00681B24"/>
    <w:rsid w:val="00681FC6"/>
    <w:rsid w:val="006824A1"/>
    <w:rsid w:val="0068256C"/>
    <w:rsid w:val="006825A4"/>
    <w:rsid w:val="00682700"/>
    <w:rsid w:val="006830AA"/>
    <w:rsid w:val="00683106"/>
    <w:rsid w:val="0068399F"/>
    <w:rsid w:val="00683DF8"/>
    <w:rsid w:val="0068413B"/>
    <w:rsid w:val="00684356"/>
    <w:rsid w:val="0068470B"/>
    <w:rsid w:val="00684A48"/>
    <w:rsid w:val="00684B30"/>
    <w:rsid w:val="00684DDC"/>
    <w:rsid w:val="00685048"/>
    <w:rsid w:val="006850F3"/>
    <w:rsid w:val="00685D8D"/>
    <w:rsid w:val="0068634E"/>
    <w:rsid w:val="0068637D"/>
    <w:rsid w:val="006864FD"/>
    <w:rsid w:val="006865BA"/>
    <w:rsid w:val="0068699A"/>
    <w:rsid w:val="00686BB9"/>
    <w:rsid w:val="00686D4E"/>
    <w:rsid w:val="00686DDE"/>
    <w:rsid w:val="00686E05"/>
    <w:rsid w:val="006872A6"/>
    <w:rsid w:val="00687474"/>
    <w:rsid w:val="00687930"/>
    <w:rsid w:val="00690163"/>
    <w:rsid w:val="006902B3"/>
    <w:rsid w:val="00690497"/>
    <w:rsid w:val="00690569"/>
    <w:rsid w:val="00690860"/>
    <w:rsid w:val="00690A00"/>
    <w:rsid w:val="00690DF1"/>
    <w:rsid w:val="00691179"/>
    <w:rsid w:val="0069169A"/>
    <w:rsid w:val="0069187C"/>
    <w:rsid w:val="00691D3D"/>
    <w:rsid w:val="0069207A"/>
    <w:rsid w:val="006929B5"/>
    <w:rsid w:val="00692C33"/>
    <w:rsid w:val="00692D37"/>
    <w:rsid w:val="00692F53"/>
    <w:rsid w:val="00692F76"/>
    <w:rsid w:val="006930BF"/>
    <w:rsid w:val="006931C1"/>
    <w:rsid w:val="00693798"/>
    <w:rsid w:val="00694276"/>
    <w:rsid w:val="006942BD"/>
    <w:rsid w:val="0069447D"/>
    <w:rsid w:val="00694B71"/>
    <w:rsid w:val="00694D2D"/>
    <w:rsid w:val="00694F6E"/>
    <w:rsid w:val="00694F9C"/>
    <w:rsid w:val="0069523D"/>
    <w:rsid w:val="00695571"/>
    <w:rsid w:val="0069607C"/>
    <w:rsid w:val="00696462"/>
    <w:rsid w:val="0069692F"/>
    <w:rsid w:val="00696CC5"/>
    <w:rsid w:val="006973F5"/>
    <w:rsid w:val="00697B4B"/>
    <w:rsid w:val="00697F8D"/>
    <w:rsid w:val="006A0226"/>
    <w:rsid w:val="006A081D"/>
    <w:rsid w:val="006A0AFB"/>
    <w:rsid w:val="006A0F9F"/>
    <w:rsid w:val="006A13E2"/>
    <w:rsid w:val="006A13F7"/>
    <w:rsid w:val="006A153C"/>
    <w:rsid w:val="006A1BB6"/>
    <w:rsid w:val="006A1C8D"/>
    <w:rsid w:val="006A1DD8"/>
    <w:rsid w:val="006A1FD3"/>
    <w:rsid w:val="006A208A"/>
    <w:rsid w:val="006A234C"/>
    <w:rsid w:val="006A251C"/>
    <w:rsid w:val="006A2BD9"/>
    <w:rsid w:val="006A3D42"/>
    <w:rsid w:val="006A4447"/>
    <w:rsid w:val="006A4579"/>
    <w:rsid w:val="006A466D"/>
    <w:rsid w:val="006A4702"/>
    <w:rsid w:val="006A4814"/>
    <w:rsid w:val="006A5183"/>
    <w:rsid w:val="006A54B7"/>
    <w:rsid w:val="006A5E62"/>
    <w:rsid w:val="006A5F29"/>
    <w:rsid w:val="006A611A"/>
    <w:rsid w:val="006A625C"/>
    <w:rsid w:val="006A644B"/>
    <w:rsid w:val="006A656D"/>
    <w:rsid w:val="006A66E7"/>
    <w:rsid w:val="006A6A95"/>
    <w:rsid w:val="006A6EBF"/>
    <w:rsid w:val="006A6ECB"/>
    <w:rsid w:val="006A7066"/>
    <w:rsid w:val="006A70B4"/>
    <w:rsid w:val="006A71A5"/>
    <w:rsid w:val="006A7656"/>
    <w:rsid w:val="006A7A1A"/>
    <w:rsid w:val="006A7FA8"/>
    <w:rsid w:val="006B040B"/>
    <w:rsid w:val="006B077B"/>
    <w:rsid w:val="006B0A46"/>
    <w:rsid w:val="006B0F47"/>
    <w:rsid w:val="006B1001"/>
    <w:rsid w:val="006B1325"/>
    <w:rsid w:val="006B13CB"/>
    <w:rsid w:val="006B1560"/>
    <w:rsid w:val="006B1673"/>
    <w:rsid w:val="006B1D6E"/>
    <w:rsid w:val="006B1E25"/>
    <w:rsid w:val="006B1F04"/>
    <w:rsid w:val="006B217E"/>
    <w:rsid w:val="006B2552"/>
    <w:rsid w:val="006B2690"/>
    <w:rsid w:val="006B2BE6"/>
    <w:rsid w:val="006B374A"/>
    <w:rsid w:val="006B3999"/>
    <w:rsid w:val="006B3BF5"/>
    <w:rsid w:val="006B3CB8"/>
    <w:rsid w:val="006B4893"/>
    <w:rsid w:val="006B49A9"/>
    <w:rsid w:val="006B4A40"/>
    <w:rsid w:val="006B4AA0"/>
    <w:rsid w:val="006B5734"/>
    <w:rsid w:val="006B586A"/>
    <w:rsid w:val="006B615E"/>
    <w:rsid w:val="006B622C"/>
    <w:rsid w:val="006B6414"/>
    <w:rsid w:val="006B6434"/>
    <w:rsid w:val="006B663A"/>
    <w:rsid w:val="006B6F0E"/>
    <w:rsid w:val="006B6F55"/>
    <w:rsid w:val="006B73A3"/>
    <w:rsid w:val="006B7807"/>
    <w:rsid w:val="006B7C6A"/>
    <w:rsid w:val="006C01D3"/>
    <w:rsid w:val="006C021C"/>
    <w:rsid w:val="006C09FF"/>
    <w:rsid w:val="006C1186"/>
    <w:rsid w:val="006C1369"/>
    <w:rsid w:val="006C178D"/>
    <w:rsid w:val="006C1BA6"/>
    <w:rsid w:val="006C1FDB"/>
    <w:rsid w:val="006C20D0"/>
    <w:rsid w:val="006C25C6"/>
    <w:rsid w:val="006C2AF4"/>
    <w:rsid w:val="006C2FF0"/>
    <w:rsid w:val="006C37C4"/>
    <w:rsid w:val="006C39CF"/>
    <w:rsid w:val="006C3B40"/>
    <w:rsid w:val="006C47B6"/>
    <w:rsid w:val="006C4CD3"/>
    <w:rsid w:val="006C51FC"/>
    <w:rsid w:val="006C52FF"/>
    <w:rsid w:val="006C578D"/>
    <w:rsid w:val="006C59E6"/>
    <w:rsid w:val="006C61C8"/>
    <w:rsid w:val="006C639F"/>
    <w:rsid w:val="006C651D"/>
    <w:rsid w:val="006C6545"/>
    <w:rsid w:val="006C6C92"/>
    <w:rsid w:val="006C7011"/>
    <w:rsid w:val="006C7260"/>
    <w:rsid w:val="006C782F"/>
    <w:rsid w:val="006C7CA8"/>
    <w:rsid w:val="006C7D81"/>
    <w:rsid w:val="006C7F67"/>
    <w:rsid w:val="006D0178"/>
    <w:rsid w:val="006D088C"/>
    <w:rsid w:val="006D0E8C"/>
    <w:rsid w:val="006D1043"/>
    <w:rsid w:val="006D11A2"/>
    <w:rsid w:val="006D142D"/>
    <w:rsid w:val="006D18BE"/>
    <w:rsid w:val="006D1BD9"/>
    <w:rsid w:val="006D2650"/>
    <w:rsid w:val="006D26EF"/>
    <w:rsid w:val="006D27AC"/>
    <w:rsid w:val="006D2813"/>
    <w:rsid w:val="006D2E24"/>
    <w:rsid w:val="006D3102"/>
    <w:rsid w:val="006D38A9"/>
    <w:rsid w:val="006D4004"/>
    <w:rsid w:val="006D42E2"/>
    <w:rsid w:val="006D4B6F"/>
    <w:rsid w:val="006D4CDE"/>
    <w:rsid w:val="006D4E58"/>
    <w:rsid w:val="006D5011"/>
    <w:rsid w:val="006D575E"/>
    <w:rsid w:val="006D5ADE"/>
    <w:rsid w:val="006D5CAC"/>
    <w:rsid w:val="006D5E0B"/>
    <w:rsid w:val="006D5EC5"/>
    <w:rsid w:val="006D6013"/>
    <w:rsid w:val="006D6388"/>
    <w:rsid w:val="006D64BF"/>
    <w:rsid w:val="006D65A4"/>
    <w:rsid w:val="006D675B"/>
    <w:rsid w:val="006D6ED2"/>
    <w:rsid w:val="006D7101"/>
    <w:rsid w:val="006D7379"/>
    <w:rsid w:val="006D7391"/>
    <w:rsid w:val="006D7677"/>
    <w:rsid w:val="006D781C"/>
    <w:rsid w:val="006D78AF"/>
    <w:rsid w:val="006D7C0E"/>
    <w:rsid w:val="006D7C60"/>
    <w:rsid w:val="006E00CE"/>
    <w:rsid w:val="006E01AC"/>
    <w:rsid w:val="006E0676"/>
    <w:rsid w:val="006E07F1"/>
    <w:rsid w:val="006E090E"/>
    <w:rsid w:val="006E0DF0"/>
    <w:rsid w:val="006E0E5C"/>
    <w:rsid w:val="006E1249"/>
    <w:rsid w:val="006E1464"/>
    <w:rsid w:val="006E19A8"/>
    <w:rsid w:val="006E1A6C"/>
    <w:rsid w:val="006E1B5C"/>
    <w:rsid w:val="006E1EBE"/>
    <w:rsid w:val="006E2145"/>
    <w:rsid w:val="006E25CE"/>
    <w:rsid w:val="006E2617"/>
    <w:rsid w:val="006E2706"/>
    <w:rsid w:val="006E2831"/>
    <w:rsid w:val="006E2B42"/>
    <w:rsid w:val="006E2C61"/>
    <w:rsid w:val="006E2D9C"/>
    <w:rsid w:val="006E2F3D"/>
    <w:rsid w:val="006E33FF"/>
    <w:rsid w:val="006E3639"/>
    <w:rsid w:val="006E3809"/>
    <w:rsid w:val="006E3938"/>
    <w:rsid w:val="006E3CC5"/>
    <w:rsid w:val="006E409C"/>
    <w:rsid w:val="006E47FD"/>
    <w:rsid w:val="006E497F"/>
    <w:rsid w:val="006E5496"/>
    <w:rsid w:val="006E5A29"/>
    <w:rsid w:val="006E5FBF"/>
    <w:rsid w:val="006E6082"/>
    <w:rsid w:val="006E62D2"/>
    <w:rsid w:val="006E63BC"/>
    <w:rsid w:val="006E675D"/>
    <w:rsid w:val="006E6835"/>
    <w:rsid w:val="006E6901"/>
    <w:rsid w:val="006E6CFD"/>
    <w:rsid w:val="006E6D29"/>
    <w:rsid w:val="006E6E0D"/>
    <w:rsid w:val="006E74B7"/>
    <w:rsid w:val="006E787F"/>
    <w:rsid w:val="006E7D4D"/>
    <w:rsid w:val="006F0120"/>
    <w:rsid w:val="006F0243"/>
    <w:rsid w:val="006F05A8"/>
    <w:rsid w:val="006F083F"/>
    <w:rsid w:val="006F0B16"/>
    <w:rsid w:val="006F13FB"/>
    <w:rsid w:val="006F15B1"/>
    <w:rsid w:val="006F1CB3"/>
    <w:rsid w:val="006F1DDE"/>
    <w:rsid w:val="006F241E"/>
    <w:rsid w:val="006F307C"/>
    <w:rsid w:val="006F34B3"/>
    <w:rsid w:val="006F3506"/>
    <w:rsid w:val="006F3632"/>
    <w:rsid w:val="006F37A6"/>
    <w:rsid w:val="006F37E5"/>
    <w:rsid w:val="006F3835"/>
    <w:rsid w:val="006F3900"/>
    <w:rsid w:val="006F4154"/>
    <w:rsid w:val="006F428D"/>
    <w:rsid w:val="006F435D"/>
    <w:rsid w:val="006F48D8"/>
    <w:rsid w:val="006F491E"/>
    <w:rsid w:val="006F510A"/>
    <w:rsid w:val="006F562A"/>
    <w:rsid w:val="006F5863"/>
    <w:rsid w:val="006F5A56"/>
    <w:rsid w:val="006F5BCD"/>
    <w:rsid w:val="006F5D19"/>
    <w:rsid w:val="006F6140"/>
    <w:rsid w:val="006F62B1"/>
    <w:rsid w:val="006F689E"/>
    <w:rsid w:val="006F6A81"/>
    <w:rsid w:val="006F714D"/>
    <w:rsid w:val="006F717C"/>
    <w:rsid w:val="006F7231"/>
    <w:rsid w:val="006F77CB"/>
    <w:rsid w:val="006F7995"/>
    <w:rsid w:val="006F7E73"/>
    <w:rsid w:val="007000A5"/>
    <w:rsid w:val="00700225"/>
    <w:rsid w:val="0070047F"/>
    <w:rsid w:val="00700632"/>
    <w:rsid w:val="00700700"/>
    <w:rsid w:val="007009AA"/>
    <w:rsid w:val="0070164C"/>
    <w:rsid w:val="007018AE"/>
    <w:rsid w:val="00701ADB"/>
    <w:rsid w:val="00701D57"/>
    <w:rsid w:val="00701DE8"/>
    <w:rsid w:val="00702095"/>
    <w:rsid w:val="00702129"/>
    <w:rsid w:val="007021D3"/>
    <w:rsid w:val="00702276"/>
    <w:rsid w:val="00702327"/>
    <w:rsid w:val="00702AE6"/>
    <w:rsid w:val="00702DE1"/>
    <w:rsid w:val="00702EA9"/>
    <w:rsid w:val="00702F9C"/>
    <w:rsid w:val="00703333"/>
    <w:rsid w:val="00703488"/>
    <w:rsid w:val="007034A0"/>
    <w:rsid w:val="0070354E"/>
    <w:rsid w:val="00704020"/>
    <w:rsid w:val="007042BC"/>
    <w:rsid w:val="00704691"/>
    <w:rsid w:val="00704BCE"/>
    <w:rsid w:val="0070505E"/>
    <w:rsid w:val="0070526D"/>
    <w:rsid w:val="00705327"/>
    <w:rsid w:val="0070543C"/>
    <w:rsid w:val="007054AB"/>
    <w:rsid w:val="0070577A"/>
    <w:rsid w:val="0070609D"/>
    <w:rsid w:val="00706224"/>
    <w:rsid w:val="007068C6"/>
    <w:rsid w:val="007068EF"/>
    <w:rsid w:val="00706945"/>
    <w:rsid w:val="00706F2F"/>
    <w:rsid w:val="00707022"/>
    <w:rsid w:val="00707179"/>
    <w:rsid w:val="0070719D"/>
    <w:rsid w:val="007074B5"/>
    <w:rsid w:val="00707530"/>
    <w:rsid w:val="00707C78"/>
    <w:rsid w:val="0071007F"/>
    <w:rsid w:val="00710092"/>
    <w:rsid w:val="0071051B"/>
    <w:rsid w:val="00710622"/>
    <w:rsid w:val="00711188"/>
    <w:rsid w:val="007114D1"/>
    <w:rsid w:val="0071150B"/>
    <w:rsid w:val="00711613"/>
    <w:rsid w:val="00711B3B"/>
    <w:rsid w:val="00711BD1"/>
    <w:rsid w:val="00712073"/>
    <w:rsid w:val="00712A3D"/>
    <w:rsid w:val="00712D7A"/>
    <w:rsid w:val="00713925"/>
    <w:rsid w:val="00713BAE"/>
    <w:rsid w:val="00713C87"/>
    <w:rsid w:val="00713D08"/>
    <w:rsid w:val="00713DD1"/>
    <w:rsid w:val="00713FF5"/>
    <w:rsid w:val="00714641"/>
    <w:rsid w:val="007146D1"/>
    <w:rsid w:val="00715304"/>
    <w:rsid w:val="007154DF"/>
    <w:rsid w:val="00715963"/>
    <w:rsid w:val="00715BA4"/>
    <w:rsid w:val="0071621D"/>
    <w:rsid w:val="0071680B"/>
    <w:rsid w:val="0071699D"/>
    <w:rsid w:val="00716B23"/>
    <w:rsid w:val="00716BE6"/>
    <w:rsid w:val="007171AE"/>
    <w:rsid w:val="00717203"/>
    <w:rsid w:val="00717626"/>
    <w:rsid w:val="00717643"/>
    <w:rsid w:val="00717C3E"/>
    <w:rsid w:val="007200FB"/>
    <w:rsid w:val="00720473"/>
    <w:rsid w:val="007204DF"/>
    <w:rsid w:val="007206AB"/>
    <w:rsid w:val="007206CC"/>
    <w:rsid w:val="007206EC"/>
    <w:rsid w:val="00720791"/>
    <w:rsid w:val="00720964"/>
    <w:rsid w:val="00720DCD"/>
    <w:rsid w:val="007210A8"/>
    <w:rsid w:val="00721134"/>
    <w:rsid w:val="0072140E"/>
    <w:rsid w:val="007218E8"/>
    <w:rsid w:val="00721D9C"/>
    <w:rsid w:val="00721F08"/>
    <w:rsid w:val="00721F69"/>
    <w:rsid w:val="007220DB"/>
    <w:rsid w:val="007223B7"/>
    <w:rsid w:val="00722473"/>
    <w:rsid w:val="00722843"/>
    <w:rsid w:val="00722871"/>
    <w:rsid w:val="00722B70"/>
    <w:rsid w:val="00722E80"/>
    <w:rsid w:val="00723621"/>
    <w:rsid w:val="007236F6"/>
    <w:rsid w:val="00723B14"/>
    <w:rsid w:val="00723BD0"/>
    <w:rsid w:val="00723D26"/>
    <w:rsid w:val="00723E78"/>
    <w:rsid w:val="00724045"/>
    <w:rsid w:val="0072423F"/>
    <w:rsid w:val="00724450"/>
    <w:rsid w:val="00724501"/>
    <w:rsid w:val="00724559"/>
    <w:rsid w:val="0072472F"/>
    <w:rsid w:val="007247A7"/>
    <w:rsid w:val="0072497A"/>
    <w:rsid w:val="007249CB"/>
    <w:rsid w:val="00724DB1"/>
    <w:rsid w:val="00725332"/>
    <w:rsid w:val="0072585E"/>
    <w:rsid w:val="00725897"/>
    <w:rsid w:val="00726255"/>
    <w:rsid w:val="0072657E"/>
    <w:rsid w:val="0072685B"/>
    <w:rsid w:val="00726ECE"/>
    <w:rsid w:val="0072722F"/>
    <w:rsid w:val="00727347"/>
    <w:rsid w:val="0072736E"/>
    <w:rsid w:val="00727392"/>
    <w:rsid w:val="007274E1"/>
    <w:rsid w:val="00727652"/>
    <w:rsid w:val="00727923"/>
    <w:rsid w:val="00727C86"/>
    <w:rsid w:val="00727D2C"/>
    <w:rsid w:val="007301BD"/>
    <w:rsid w:val="00730517"/>
    <w:rsid w:val="00730580"/>
    <w:rsid w:val="0073084E"/>
    <w:rsid w:val="00730966"/>
    <w:rsid w:val="00730B2A"/>
    <w:rsid w:val="00730DDA"/>
    <w:rsid w:val="00730E0C"/>
    <w:rsid w:val="00730F08"/>
    <w:rsid w:val="00730F20"/>
    <w:rsid w:val="00731120"/>
    <w:rsid w:val="007312CA"/>
    <w:rsid w:val="00731804"/>
    <w:rsid w:val="00731932"/>
    <w:rsid w:val="00731B33"/>
    <w:rsid w:val="00731BD6"/>
    <w:rsid w:val="007325F0"/>
    <w:rsid w:val="00732FEF"/>
    <w:rsid w:val="007330BF"/>
    <w:rsid w:val="00733198"/>
    <w:rsid w:val="00733318"/>
    <w:rsid w:val="00733788"/>
    <w:rsid w:val="007339D0"/>
    <w:rsid w:val="00733A95"/>
    <w:rsid w:val="00733EEF"/>
    <w:rsid w:val="00734462"/>
    <w:rsid w:val="007344EA"/>
    <w:rsid w:val="00734549"/>
    <w:rsid w:val="0073463B"/>
    <w:rsid w:val="007349A0"/>
    <w:rsid w:val="00734E0B"/>
    <w:rsid w:val="007352A5"/>
    <w:rsid w:val="0073532B"/>
    <w:rsid w:val="007353B6"/>
    <w:rsid w:val="007353EA"/>
    <w:rsid w:val="0073585B"/>
    <w:rsid w:val="00735DDA"/>
    <w:rsid w:val="00736752"/>
    <w:rsid w:val="00736FAA"/>
    <w:rsid w:val="00737CD7"/>
    <w:rsid w:val="00737FF2"/>
    <w:rsid w:val="0074056E"/>
    <w:rsid w:val="00740E72"/>
    <w:rsid w:val="00740F49"/>
    <w:rsid w:val="00741089"/>
    <w:rsid w:val="00741409"/>
    <w:rsid w:val="007418F7"/>
    <w:rsid w:val="00741BCD"/>
    <w:rsid w:val="00741FC9"/>
    <w:rsid w:val="00742882"/>
    <w:rsid w:val="00742922"/>
    <w:rsid w:val="00742BAA"/>
    <w:rsid w:val="00743105"/>
    <w:rsid w:val="00743264"/>
    <w:rsid w:val="0074336B"/>
    <w:rsid w:val="00743533"/>
    <w:rsid w:val="007436A6"/>
    <w:rsid w:val="00743812"/>
    <w:rsid w:val="00743B50"/>
    <w:rsid w:val="00743C71"/>
    <w:rsid w:val="007440D4"/>
    <w:rsid w:val="00744664"/>
    <w:rsid w:val="007449C5"/>
    <w:rsid w:val="00744C9A"/>
    <w:rsid w:val="00744EA8"/>
    <w:rsid w:val="00744FAF"/>
    <w:rsid w:val="007454D9"/>
    <w:rsid w:val="00745747"/>
    <w:rsid w:val="007458F7"/>
    <w:rsid w:val="00745AEB"/>
    <w:rsid w:val="0074604D"/>
    <w:rsid w:val="007465D0"/>
    <w:rsid w:val="0074693C"/>
    <w:rsid w:val="00746A5A"/>
    <w:rsid w:val="00746DF7"/>
    <w:rsid w:val="00746F00"/>
    <w:rsid w:val="007470BC"/>
    <w:rsid w:val="0074765C"/>
    <w:rsid w:val="0074769D"/>
    <w:rsid w:val="00750842"/>
    <w:rsid w:val="00750A4C"/>
    <w:rsid w:val="00751205"/>
    <w:rsid w:val="00751789"/>
    <w:rsid w:val="00751869"/>
    <w:rsid w:val="00751920"/>
    <w:rsid w:val="0075197E"/>
    <w:rsid w:val="00751C68"/>
    <w:rsid w:val="00751F2A"/>
    <w:rsid w:val="007524C7"/>
    <w:rsid w:val="00752920"/>
    <w:rsid w:val="00752C0E"/>
    <w:rsid w:val="007530D2"/>
    <w:rsid w:val="00753239"/>
    <w:rsid w:val="00753337"/>
    <w:rsid w:val="00753980"/>
    <w:rsid w:val="00753AC9"/>
    <w:rsid w:val="00753FF1"/>
    <w:rsid w:val="00754153"/>
    <w:rsid w:val="00754171"/>
    <w:rsid w:val="00754318"/>
    <w:rsid w:val="007543D9"/>
    <w:rsid w:val="0075453D"/>
    <w:rsid w:val="0075466F"/>
    <w:rsid w:val="00754803"/>
    <w:rsid w:val="007548B9"/>
    <w:rsid w:val="00754976"/>
    <w:rsid w:val="00754B76"/>
    <w:rsid w:val="007552EE"/>
    <w:rsid w:val="00755504"/>
    <w:rsid w:val="0075559B"/>
    <w:rsid w:val="007557F8"/>
    <w:rsid w:val="00755CF2"/>
    <w:rsid w:val="00755D8B"/>
    <w:rsid w:val="00755EA1"/>
    <w:rsid w:val="00755FAF"/>
    <w:rsid w:val="00756EEB"/>
    <w:rsid w:val="0075704E"/>
    <w:rsid w:val="007570F1"/>
    <w:rsid w:val="007573E1"/>
    <w:rsid w:val="00757487"/>
    <w:rsid w:val="0075757D"/>
    <w:rsid w:val="00757F1D"/>
    <w:rsid w:val="007603B9"/>
    <w:rsid w:val="007605DC"/>
    <w:rsid w:val="007606CC"/>
    <w:rsid w:val="00760B48"/>
    <w:rsid w:val="007614B0"/>
    <w:rsid w:val="0076152E"/>
    <w:rsid w:val="0076174E"/>
    <w:rsid w:val="0076174F"/>
    <w:rsid w:val="00761C94"/>
    <w:rsid w:val="00761E7B"/>
    <w:rsid w:val="00761F51"/>
    <w:rsid w:val="007621A8"/>
    <w:rsid w:val="007629BE"/>
    <w:rsid w:val="007629C2"/>
    <w:rsid w:val="00762A26"/>
    <w:rsid w:val="007634D8"/>
    <w:rsid w:val="00763514"/>
    <w:rsid w:val="00763712"/>
    <w:rsid w:val="00763821"/>
    <w:rsid w:val="007641B0"/>
    <w:rsid w:val="00764248"/>
    <w:rsid w:val="007649D7"/>
    <w:rsid w:val="00764AE3"/>
    <w:rsid w:val="00764DE8"/>
    <w:rsid w:val="00765199"/>
    <w:rsid w:val="00765534"/>
    <w:rsid w:val="007657F2"/>
    <w:rsid w:val="00765DB5"/>
    <w:rsid w:val="007664BD"/>
    <w:rsid w:val="00766501"/>
    <w:rsid w:val="00766C76"/>
    <w:rsid w:val="00766D9E"/>
    <w:rsid w:val="00766E22"/>
    <w:rsid w:val="00766EED"/>
    <w:rsid w:val="00766F2E"/>
    <w:rsid w:val="0076724D"/>
    <w:rsid w:val="00767E24"/>
    <w:rsid w:val="00767F4B"/>
    <w:rsid w:val="00767FC2"/>
    <w:rsid w:val="00770A58"/>
    <w:rsid w:val="00770A5F"/>
    <w:rsid w:val="00770AE1"/>
    <w:rsid w:val="00770C04"/>
    <w:rsid w:val="00770E14"/>
    <w:rsid w:val="0077106A"/>
    <w:rsid w:val="00771259"/>
    <w:rsid w:val="00771A61"/>
    <w:rsid w:val="00771ACC"/>
    <w:rsid w:val="007720E0"/>
    <w:rsid w:val="0077215B"/>
    <w:rsid w:val="00772A67"/>
    <w:rsid w:val="00772B49"/>
    <w:rsid w:val="0077310E"/>
    <w:rsid w:val="00773A9E"/>
    <w:rsid w:val="00774261"/>
    <w:rsid w:val="00774AC9"/>
    <w:rsid w:val="0077540C"/>
    <w:rsid w:val="00775BA4"/>
    <w:rsid w:val="007765A5"/>
    <w:rsid w:val="0077665D"/>
    <w:rsid w:val="00776696"/>
    <w:rsid w:val="00776C3B"/>
    <w:rsid w:val="00776CA1"/>
    <w:rsid w:val="007772F4"/>
    <w:rsid w:val="0077730D"/>
    <w:rsid w:val="0077751C"/>
    <w:rsid w:val="00777736"/>
    <w:rsid w:val="00777C21"/>
    <w:rsid w:val="00777D47"/>
    <w:rsid w:val="007807DE"/>
    <w:rsid w:val="00780D96"/>
    <w:rsid w:val="00780DA1"/>
    <w:rsid w:val="0078127E"/>
    <w:rsid w:val="0078134E"/>
    <w:rsid w:val="00781650"/>
    <w:rsid w:val="00781830"/>
    <w:rsid w:val="007818AB"/>
    <w:rsid w:val="00781E97"/>
    <w:rsid w:val="00781E9C"/>
    <w:rsid w:val="00782EA1"/>
    <w:rsid w:val="0078317B"/>
    <w:rsid w:val="007832F5"/>
    <w:rsid w:val="0078356E"/>
    <w:rsid w:val="007836E0"/>
    <w:rsid w:val="00783736"/>
    <w:rsid w:val="00783AC4"/>
    <w:rsid w:val="00783EE8"/>
    <w:rsid w:val="00783FA9"/>
    <w:rsid w:val="007847C1"/>
    <w:rsid w:val="007848BB"/>
    <w:rsid w:val="007849A9"/>
    <w:rsid w:val="00784E31"/>
    <w:rsid w:val="007850EE"/>
    <w:rsid w:val="00785FAB"/>
    <w:rsid w:val="00786088"/>
    <w:rsid w:val="007860F6"/>
    <w:rsid w:val="007860FF"/>
    <w:rsid w:val="0078642F"/>
    <w:rsid w:val="007864A3"/>
    <w:rsid w:val="007864EE"/>
    <w:rsid w:val="007866DC"/>
    <w:rsid w:val="00786F05"/>
    <w:rsid w:val="00787043"/>
    <w:rsid w:val="007871EA"/>
    <w:rsid w:val="007877E4"/>
    <w:rsid w:val="007878C5"/>
    <w:rsid w:val="007902CA"/>
    <w:rsid w:val="00790979"/>
    <w:rsid w:val="00790A9C"/>
    <w:rsid w:val="00790DD8"/>
    <w:rsid w:val="007912B7"/>
    <w:rsid w:val="007912BB"/>
    <w:rsid w:val="00791401"/>
    <w:rsid w:val="007915A3"/>
    <w:rsid w:val="007918FD"/>
    <w:rsid w:val="00791B68"/>
    <w:rsid w:val="00791EDB"/>
    <w:rsid w:val="00791FD4"/>
    <w:rsid w:val="00792043"/>
    <w:rsid w:val="0079218C"/>
    <w:rsid w:val="007926C5"/>
    <w:rsid w:val="0079272C"/>
    <w:rsid w:val="00792944"/>
    <w:rsid w:val="00792AAE"/>
    <w:rsid w:val="00792B89"/>
    <w:rsid w:val="00792EAF"/>
    <w:rsid w:val="00792F16"/>
    <w:rsid w:val="0079355A"/>
    <w:rsid w:val="007938E9"/>
    <w:rsid w:val="00793927"/>
    <w:rsid w:val="00793FDF"/>
    <w:rsid w:val="00793FF9"/>
    <w:rsid w:val="00794109"/>
    <w:rsid w:val="00794131"/>
    <w:rsid w:val="0079455B"/>
    <w:rsid w:val="007946D3"/>
    <w:rsid w:val="00794A2A"/>
    <w:rsid w:val="00794FD6"/>
    <w:rsid w:val="00794FDA"/>
    <w:rsid w:val="00794FE4"/>
    <w:rsid w:val="0079509F"/>
    <w:rsid w:val="007950A5"/>
    <w:rsid w:val="007952FA"/>
    <w:rsid w:val="00795310"/>
    <w:rsid w:val="007953F6"/>
    <w:rsid w:val="00795DD7"/>
    <w:rsid w:val="007961E2"/>
    <w:rsid w:val="00796719"/>
    <w:rsid w:val="00796998"/>
    <w:rsid w:val="00796A35"/>
    <w:rsid w:val="00796B48"/>
    <w:rsid w:val="00796D6A"/>
    <w:rsid w:val="00796F76"/>
    <w:rsid w:val="00796FE2"/>
    <w:rsid w:val="00797154"/>
    <w:rsid w:val="007972C5"/>
    <w:rsid w:val="007A0546"/>
    <w:rsid w:val="007A098A"/>
    <w:rsid w:val="007A0C81"/>
    <w:rsid w:val="007A0E00"/>
    <w:rsid w:val="007A0F26"/>
    <w:rsid w:val="007A186D"/>
    <w:rsid w:val="007A255A"/>
    <w:rsid w:val="007A256C"/>
    <w:rsid w:val="007A267D"/>
    <w:rsid w:val="007A2998"/>
    <w:rsid w:val="007A3B20"/>
    <w:rsid w:val="007A4340"/>
    <w:rsid w:val="007A4D01"/>
    <w:rsid w:val="007A5259"/>
    <w:rsid w:val="007A540B"/>
    <w:rsid w:val="007A5B77"/>
    <w:rsid w:val="007A5BB2"/>
    <w:rsid w:val="007A60C8"/>
    <w:rsid w:val="007A66F7"/>
    <w:rsid w:val="007A6966"/>
    <w:rsid w:val="007A7202"/>
    <w:rsid w:val="007A76B0"/>
    <w:rsid w:val="007A7A01"/>
    <w:rsid w:val="007A7D6B"/>
    <w:rsid w:val="007A7E54"/>
    <w:rsid w:val="007B0254"/>
    <w:rsid w:val="007B04FE"/>
    <w:rsid w:val="007B0699"/>
    <w:rsid w:val="007B06DE"/>
    <w:rsid w:val="007B0903"/>
    <w:rsid w:val="007B0921"/>
    <w:rsid w:val="007B0F38"/>
    <w:rsid w:val="007B1366"/>
    <w:rsid w:val="007B13F6"/>
    <w:rsid w:val="007B1409"/>
    <w:rsid w:val="007B1441"/>
    <w:rsid w:val="007B17E0"/>
    <w:rsid w:val="007B1E5D"/>
    <w:rsid w:val="007B1E71"/>
    <w:rsid w:val="007B248B"/>
    <w:rsid w:val="007B24EA"/>
    <w:rsid w:val="007B2D95"/>
    <w:rsid w:val="007B318D"/>
    <w:rsid w:val="007B365B"/>
    <w:rsid w:val="007B3815"/>
    <w:rsid w:val="007B3BA2"/>
    <w:rsid w:val="007B4061"/>
    <w:rsid w:val="007B48B6"/>
    <w:rsid w:val="007B4B0C"/>
    <w:rsid w:val="007B4CD0"/>
    <w:rsid w:val="007B4E38"/>
    <w:rsid w:val="007B530B"/>
    <w:rsid w:val="007B548E"/>
    <w:rsid w:val="007B55F5"/>
    <w:rsid w:val="007B58DD"/>
    <w:rsid w:val="007B58E1"/>
    <w:rsid w:val="007B5E8A"/>
    <w:rsid w:val="007B64B7"/>
    <w:rsid w:val="007B66EC"/>
    <w:rsid w:val="007B6984"/>
    <w:rsid w:val="007B6B9C"/>
    <w:rsid w:val="007B6C9C"/>
    <w:rsid w:val="007B6EE2"/>
    <w:rsid w:val="007B78E5"/>
    <w:rsid w:val="007B79B4"/>
    <w:rsid w:val="007B7A81"/>
    <w:rsid w:val="007B7D95"/>
    <w:rsid w:val="007C0523"/>
    <w:rsid w:val="007C063C"/>
    <w:rsid w:val="007C0ED1"/>
    <w:rsid w:val="007C1ACB"/>
    <w:rsid w:val="007C1AE3"/>
    <w:rsid w:val="007C1DDA"/>
    <w:rsid w:val="007C1E23"/>
    <w:rsid w:val="007C21F5"/>
    <w:rsid w:val="007C237A"/>
    <w:rsid w:val="007C252E"/>
    <w:rsid w:val="007C25F9"/>
    <w:rsid w:val="007C2A42"/>
    <w:rsid w:val="007C2F78"/>
    <w:rsid w:val="007C3139"/>
    <w:rsid w:val="007C3718"/>
    <w:rsid w:val="007C37A3"/>
    <w:rsid w:val="007C3A5D"/>
    <w:rsid w:val="007C3BE5"/>
    <w:rsid w:val="007C3F3B"/>
    <w:rsid w:val="007C4746"/>
    <w:rsid w:val="007C5096"/>
    <w:rsid w:val="007C5276"/>
    <w:rsid w:val="007C57BB"/>
    <w:rsid w:val="007C5B53"/>
    <w:rsid w:val="007C5D4C"/>
    <w:rsid w:val="007C62E9"/>
    <w:rsid w:val="007C6598"/>
    <w:rsid w:val="007C69DA"/>
    <w:rsid w:val="007C6A27"/>
    <w:rsid w:val="007C6C11"/>
    <w:rsid w:val="007C6D3B"/>
    <w:rsid w:val="007C6D7B"/>
    <w:rsid w:val="007C6EB1"/>
    <w:rsid w:val="007C7A75"/>
    <w:rsid w:val="007C7B08"/>
    <w:rsid w:val="007C7B83"/>
    <w:rsid w:val="007C7D82"/>
    <w:rsid w:val="007C7D9C"/>
    <w:rsid w:val="007C7EA0"/>
    <w:rsid w:val="007D0169"/>
    <w:rsid w:val="007D035A"/>
    <w:rsid w:val="007D0886"/>
    <w:rsid w:val="007D08C5"/>
    <w:rsid w:val="007D094D"/>
    <w:rsid w:val="007D09F7"/>
    <w:rsid w:val="007D15B7"/>
    <w:rsid w:val="007D15F8"/>
    <w:rsid w:val="007D1627"/>
    <w:rsid w:val="007D1D42"/>
    <w:rsid w:val="007D1FB4"/>
    <w:rsid w:val="007D2363"/>
    <w:rsid w:val="007D2622"/>
    <w:rsid w:val="007D29CC"/>
    <w:rsid w:val="007D2C4F"/>
    <w:rsid w:val="007D2F4B"/>
    <w:rsid w:val="007D35B2"/>
    <w:rsid w:val="007D3B46"/>
    <w:rsid w:val="007D3CFD"/>
    <w:rsid w:val="007D3D49"/>
    <w:rsid w:val="007D3E06"/>
    <w:rsid w:val="007D3EF1"/>
    <w:rsid w:val="007D42C9"/>
    <w:rsid w:val="007D4786"/>
    <w:rsid w:val="007D48B3"/>
    <w:rsid w:val="007D4B52"/>
    <w:rsid w:val="007D4D0B"/>
    <w:rsid w:val="007D5103"/>
    <w:rsid w:val="007D511E"/>
    <w:rsid w:val="007D525C"/>
    <w:rsid w:val="007D52DC"/>
    <w:rsid w:val="007D565A"/>
    <w:rsid w:val="007D58D9"/>
    <w:rsid w:val="007D5C2C"/>
    <w:rsid w:val="007D5D1B"/>
    <w:rsid w:val="007D6B9F"/>
    <w:rsid w:val="007D6E34"/>
    <w:rsid w:val="007D6EDC"/>
    <w:rsid w:val="007D70BE"/>
    <w:rsid w:val="007D752C"/>
    <w:rsid w:val="007D7F08"/>
    <w:rsid w:val="007D7F22"/>
    <w:rsid w:val="007E07F4"/>
    <w:rsid w:val="007E09EC"/>
    <w:rsid w:val="007E14EB"/>
    <w:rsid w:val="007E1544"/>
    <w:rsid w:val="007E1BF7"/>
    <w:rsid w:val="007E1C03"/>
    <w:rsid w:val="007E1F4B"/>
    <w:rsid w:val="007E222B"/>
    <w:rsid w:val="007E2596"/>
    <w:rsid w:val="007E28EA"/>
    <w:rsid w:val="007E297E"/>
    <w:rsid w:val="007E2FF6"/>
    <w:rsid w:val="007E2FF9"/>
    <w:rsid w:val="007E348B"/>
    <w:rsid w:val="007E3547"/>
    <w:rsid w:val="007E361A"/>
    <w:rsid w:val="007E388F"/>
    <w:rsid w:val="007E39AB"/>
    <w:rsid w:val="007E45DA"/>
    <w:rsid w:val="007E4B73"/>
    <w:rsid w:val="007E4ECE"/>
    <w:rsid w:val="007E50AC"/>
    <w:rsid w:val="007E5171"/>
    <w:rsid w:val="007E54EF"/>
    <w:rsid w:val="007E566C"/>
    <w:rsid w:val="007E570E"/>
    <w:rsid w:val="007E5782"/>
    <w:rsid w:val="007E5EFD"/>
    <w:rsid w:val="007E6076"/>
    <w:rsid w:val="007E63BD"/>
    <w:rsid w:val="007E6411"/>
    <w:rsid w:val="007E6DEA"/>
    <w:rsid w:val="007E6ED4"/>
    <w:rsid w:val="007E7022"/>
    <w:rsid w:val="007E7282"/>
    <w:rsid w:val="007E788D"/>
    <w:rsid w:val="007E79ED"/>
    <w:rsid w:val="007E79F4"/>
    <w:rsid w:val="007E7A14"/>
    <w:rsid w:val="007F0975"/>
    <w:rsid w:val="007F0A21"/>
    <w:rsid w:val="007F0C7F"/>
    <w:rsid w:val="007F0D26"/>
    <w:rsid w:val="007F1068"/>
    <w:rsid w:val="007F13DC"/>
    <w:rsid w:val="007F145B"/>
    <w:rsid w:val="007F15DA"/>
    <w:rsid w:val="007F1658"/>
    <w:rsid w:val="007F17D1"/>
    <w:rsid w:val="007F1D65"/>
    <w:rsid w:val="007F1E2A"/>
    <w:rsid w:val="007F280E"/>
    <w:rsid w:val="007F293E"/>
    <w:rsid w:val="007F2A33"/>
    <w:rsid w:val="007F2AE0"/>
    <w:rsid w:val="007F2D90"/>
    <w:rsid w:val="007F2FB2"/>
    <w:rsid w:val="007F3643"/>
    <w:rsid w:val="007F373D"/>
    <w:rsid w:val="007F3782"/>
    <w:rsid w:val="007F3878"/>
    <w:rsid w:val="007F3959"/>
    <w:rsid w:val="007F3E60"/>
    <w:rsid w:val="007F4493"/>
    <w:rsid w:val="007F450E"/>
    <w:rsid w:val="007F48A7"/>
    <w:rsid w:val="007F4A18"/>
    <w:rsid w:val="007F4FE2"/>
    <w:rsid w:val="007F5312"/>
    <w:rsid w:val="007F54A1"/>
    <w:rsid w:val="007F5605"/>
    <w:rsid w:val="007F5C3F"/>
    <w:rsid w:val="007F659D"/>
    <w:rsid w:val="007F68F3"/>
    <w:rsid w:val="007F6C7B"/>
    <w:rsid w:val="007F72C5"/>
    <w:rsid w:val="007F7409"/>
    <w:rsid w:val="007F765D"/>
    <w:rsid w:val="007F7FA6"/>
    <w:rsid w:val="00800147"/>
    <w:rsid w:val="0080086E"/>
    <w:rsid w:val="00800C41"/>
    <w:rsid w:val="00801866"/>
    <w:rsid w:val="00801A7E"/>
    <w:rsid w:val="00801B7A"/>
    <w:rsid w:val="00801B99"/>
    <w:rsid w:val="00801C5F"/>
    <w:rsid w:val="00801D29"/>
    <w:rsid w:val="00802012"/>
    <w:rsid w:val="008020AE"/>
    <w:rsid w:val="008021D5"/>
    <w:rsid w:val="008026BB"/>
    <w:rsid w:val="008028B9"/>
    <w:rsid w:val="008029EE"/>
    <w:rsid w:val="008031EB"/>
    <w:rsid w:val="00803405"/>
    <w:rsid w:val="0080366B"/>
    <w:rsid w:val="008038A2"/>
    <w:rsid w:val="0080390D"/>
    <w:rsid w:val="0080395E"/>
    <w:rsid w:val="00803C64"/>
    <w:rsid w:val="0080411F"/>
    <w:rsid w:val="00804126"/>
    <w:rsid w:val="00804D76"/>
    <w:rsid w:val="00804E31"/>
    <w:rsid w:val="00804EC7"/>
    <w:rsid w:val="00804EDC"/>
    <w:rsid w:val="00805237"/>
    <w:rsid w:val="0080540A"/>
    <w:rsid w:val="008057F1"/>
    <w:rsid w:val="0080581F"/>
    <w:rsid w:val="00805E34"/>
    <w:rsid w:val="0080616B"/>
    <w:rsid w:val="0080670C"/>
    <w:rsid w:val="00806747"/>
    <w:rsid w:val="0080677D"/>
    <w:rsid w:val="00806984"/>
    <w:rsid w:val="00806C16"/>
    <w:rsid w:val="0080720C"/>
    <w:rsid w:val="0080722E"/>
    <w:rsid w:val="00807569"/>
    <w:rsid w:val="0080772B"/>
    <w:rsid w:val="00807783"/>
    <w:rsid w:val="008078BC"/>
    <w:rsid w:val="008079BE"/>
    <w:rsid w:val="00807BBE"/>
    <w:rsid w:val="00807D96"/>
    <w:rsid w:val="00807E48"/>
    <w:rsid w:val="00810107"/>
    <w:rsid w:val="00810270"/>
    <w:rsid w:val="008102FF"/>
    <w:rsid w:val="00810456"/>
    <w:rsid w:val="0081070C"/>
    <w:rsid w:val="00810796"/>
    <w:rsid w:val="008108ED"/>
    <w:rsid w:val="00810F7F"/>
    <w:rsid w:val="0081103C"/>
    <w:rsid w:val="00811119"/>
    <w:rsid w:val="008113BA"/>
    <w:rsid w:val="00811722"/>
    <w:rsid w:val="00811C03"/>
    <w:rsid w:val="00811D67"/>
    <w:rsid w:val="00812079"/>
    <w:rsid w:val="00812AC7"/>
    <w:rsid w:val="00812DF8"/>
    <w:rsid w:val="0081323F"/>
    <w:rsid w:val="00813758"/>
    <w:rsid w:val="00813775"/>
    <w:rsid w:val="00813E91"/>
    <w:rsid w:val="00814004"/>
    <w:rsid w:val="008146A5"/>
    <w:rsid w:val="00814784"/>
    <w:rsid w:val="0081481D"/>
    <w:rsid w:val="00814DE8"/>
    <w:rsid w:val="00814E1A"/>
    <w:rsid w:val="0081523F"/>
    <w:rsid w:val="00815576"/>
    <w:rsid w:val="0081587B"/>
    <w:rsid w:val="008163CD"/>
    <w:rsid w:val="00816553"/>
    <w:rsid w:val="008165E1"/>
    <w:rsid w:val="00816656"/>
    <w:rsid w:val="00816884"/>
    <w:rsid w:val="00816ACE"/>
    <w:rsid w:val="00816B62"/>
    <w:rsid w:val="00816DBE"/>
    <w:rsid w:val="008170D2"/>
    <w:rsid w:val="008172F0"/>
    <w:rsid w:val="00817703"/>
    <w:rsid w:val="00817890"/>
    <w:rsid w:val="00817EC0"/>
    <w:rsid w:val="008200AA"/>
    <w:rsid w:val="00820632"/>
    <w:rsid w:val="00820C12"/>
    <w:rsid w:val="00820CEE"/>
    <w:rsid w:val="00820DD6"/>
    <w:rsid w:val="00820EDB"/>
    <w:rsid w:val="008211D0"/>
    <w:rsid w:val="00821503"/>
    <w:rsid w:val="00821511"/>
    <w:rsid w:val="00821896"/>
    <w:rsid w:val="0082208E"/>
    <w:rsid w:val="008220CB"/>
    <w:rsid w:val="008226BC"/>
    <w:rsid w:val="008228E1"/>
    <w:rsid w:val="00822A1B"/>
    <w:rsid w:val="00822AB0"/>
    <w:rsid w:val="00822E19"/>
    <w:rsid w:val="00822E8F"/>
    <w:rsid w:val="0082316E"/>
    <w:rsid w:val="008237FB"/>
    <w:rsid w:val="00823AE7"/>
    <w:rsid w:val="00823E8C"/>
    <w:rsid w:val="00824243"/>
    <w:rsid w:val="0082494D"/>
    <w:rsid w:val="008258BC"/>
    <w:rsid w:val="00825B99"/>
    <w:rsid w:val="0082680A"/>
    <w:rsid w:val="008268C4"/>
    <w:rsid w:val="00830188"/>
    <w:rsid w:val="008309D2"/>
    <w:rsid w:val="00830D98"/>
    <w:rsid w:val="00831263"/>
    <w:rsid w:val="00831B88"/>
    <w:rsid w:val="0083205F"/>
    <w:rsid w:val="008328AF"/>
    <w:rsid w:val="008328CB"/>
    <w:rsid w:val="00832C0B"/>
    <w:rsid w:val="00832D8D"/>
    <w:rsid w:val="00832E8A"/>
    <w:rsid w:val="008332FF"/>
    <w:rsid w:val="00833583"/>
    <w:rsid w:val="008337E5"/>
    <w:rsid w:val="00833981"/>
    <w:rsid w:val="00833A3F"/>
    <w:rsid w:val="00833E9C"/>
    <w:rsid w:val="00833F5D"/>
    <w:rsid w:val="00834286"/>
    <w:rsid w:val="00834513"/>
    <w:rsid w:val="00834642"/>
    <w:rsid w:val="00834836"/>
    <w:rsid w:val="00834840"/>
    <w:rsid w:val="00834853"/>
    <w:rsid w:val="00834943"/>
    <w:rsid w:val="0083563B"/>
    <w:rsid w:val="00835964"/>
    <w:rsid w:val="00835DCF"/>
    <w:rsid w:val="00835E76"/>
    <w:rsid w:val="008367A0"/>
    <w:rsid w:val="00836913"/>
    <w:rsid w:val="008370CB"/>
    <w:rsid w:val="008370F8"/>
    <w:rsid w:val="00837340"/>
    <w:rsid w:val="00837349"/>
    <w:rsid w:val="008375B5"/>
    <w:rsid w:val="008379DC"/>
    <w:rsid w:val="0084041D"/>
    <w:rsid w:val="008407B0"/>
    <w:rsid w:val="00840AA8"/>
    <w:rsid w:val="00841560"/>
    <w:rsid w:val="00841A19"/>
    <w:rsid w:val="00841ADA"/>
    <w:rsid w:val="00841CAC"/>
    <w:rsid w:val="00841DA4"/>
    <w:rsid w:val="00842210"/>
    <w:rsid w:val="008424C9"/>
    <w:rsid w:val="008426C5"/>
    <w:rsid w:val="0084291C"/>
    <w:rsid w:val="00842B5C"/>
    <w:rsid w:val="00842C22"/>
    <w:rsid w:val="00842DBB"/>
    <w:rsid w:val="00842DD6"/>
    <w:rsid w:val="00842E10"/>
    <w:rsid w:val="00842E7B"/>
    <w:rsid w:val="00842F81"/>
    <w:rsid w:val="00842FD2"/>
    <w:rsid w:val="0084364B"/>
    <w:rsid w:val="008437ED"/>
    <w:rsid w:val="008448C3"/>
    <w:rsid w:val="00844BAE"/>
    <w:rsid w:val="00844D09"/>
    <w:rsid w:val="00844EB0"/>
    <w:rsid w:val="00844FE0"/>
    <w:rsid w:val="00845251"/>
    <w:rsid w:val="0084527F"/>
    <w:rsid w:val="008453A9"/>
    <w:rsid w:val="00845672"/>
    <w:rsid w:val="00845BA5"/>
    <w:rsid w:val="00845D42"/>
    <w:rsid w:val="008467C2"/>
    <w:rsid w:val="00846914"/>
    <w:rsid w:val="008469C2"/>
    <w:rsid w:val="00846A21"/>
    <w:rsid w:val="00846A83"/>
    <w:rsid w:val="00846B2C"/>
    <w:rsid w:val="00846B71"/>
    <w:rsid w:val="00847521"/>
    <w:rsid w:val="008477C0"/>
    <w:rsid w:val="00847BAB"/>
    <w:rsid w:val="00847DE7"/>
    <w:rsid w:val="00847E32"/>
    <w:rsid w:val="00850125"/>
    <w:rsid w:val="00850792"/>
    <w:rsid w:val="008508A2"/>
    <w:rsid w:val="008509C6"/>
    <w:rsid w:val="00850CD1"/>
    <w:rsid w:val="00850D72"/>
    <w:rsid w:val="00851CF5"/>
    <w:rsid w:val="00852024"/>
    <w:rsid w:val="0085245D"/>
    <w:rsid w:val="0085252E"/>
    <w:rsid w:val="0085255C"/>
    <w:rsid w:val="00852684"/>
    <w:rsid w:val="0085274D"/>
    <w:rsid w:val="00852E79"/>
    <w:rsid w:val="00853085"/>
    <w:rsid w:val="00853E96"/>
    <w:rsid w:val="00853FAC"/>
    <w:rsid w:val="0085401A"/>
    <w:rsid w:val="0085457F"/>
    <w:rsid w:val="00854AB4"/>
    <w:rsid w:val="00854DC0"/>
    <w:rsid w:val="00855458"/>
    <w:rsid w:val="00855464"/>
    <w:rsid w:val="0085555C"/>
    <w:rsid w:val="00855581"/>
    <w:rsid w:val="00855644"/>
    <w:rsid w:val="008557D5"/>
    <w:rsid w:val="00855B97"/>
    <w:rsid w:val="00855F5C"/>
    <w:rsid w:val="00856350"/>
    <w:rsid w:val="0085642B"/>
    <w:rsid w:val="00856CA6"/>
    <w:rsid w:val="00856E1A"/>
    <w:rsid w:val="00857265"/>
    <w:rsid w:val="0085728F"/>
    <w:rsid w:val="008576C6"/>
    <w:rsid w:val="0086005B"/>
    <w:rsid w:val="00860079"/>
    <w:rsid w:val="008604E5"/>
    <w:rsid w:val="00860BB9"/>
    <w:rsid w:val="00860C2B"/>
    <w:rsid w:val="00860DD4"/>
    <w:rsid w:val="008611A4"/>
    <w:rsid w:val="008611C8"/>
    <w:rsid w:val="00861406"/>
    <w:rsid w:val="00861541"/>
    <w:rsid w:val="008616BF"/>
    <w:rsid w:val="00861865"/>
    <w:rsid w:val="00861FFD"/>
    <w:rsid w:val="00862035"/>
    <w:rsid w:val="008622EB"/>
    <w:rsid w:val="00862667"/>
    <w:rsid w:val="00862A2D"/>
    <w:rsid w:val="008632F4"/>
    <w:rsid w:val="00863C73"/>
    <w:rsid w:val="00863E34"/>
    <w:rsid w:val="008640AB"/>
    <w:rsid w:val="0086466C"/>
    <w:rsid w:val="00864B61"/>
    <w:rsid w:val="00864F96"/>
    <w:rsid w:val="008651CD"/>
    <w:rsid w:val="00865660"/>
    <w:rsid w:val="00865DB6"/>
    <w:rsid w:val="00865E9E"/>
    <w:rsid w:val="00865F11"/>
    <w:rsid w:val="00866077"/>
    <w:rsid w:val="008661DD"/>
    <w:rsid w:val="008663DC"/>
    <w:rsid w:val="008665FD"/>
    <w:rsid w:val="00866716"/>
    <w:rsid w:val="0086748E"/>
    <w:rsid w:val="0086755C"/>
    <w:rsid w:val="00867664"/>
    <w:rsid w:val="00867A41"/>
    <w:rsid w:val="00867D1D"/>
    <w:rsid w:val="00870121"/>
    <w:rsid w:val="00870250"/>
    <w:rsid w:val="008702ED"/>
    <w:rsid w:val="008706E1"/>
    <w:rsid w:val="008709C4"/>
    <w:rsid w:val="008712A0"/>
    <w:rsid w:val="008714AD"/>
    <w:rsid w:val="00871671"/>
    <w:rsid w:val="00871C3F"/>
    <w:rsid w:val="0087228E"/>
    <w:rsid w:val="00872A09"/>
    <w:rsid w:val="00872C75"/>
    <w:rsid w:val="00872DE2"/>
    <w:rsid w:val="00872FB3"/>
    <w:rsid w:val="00872FC5"/>
    <w:rsid w:val="00873475"/>
    <w:rsid w:val="00873882"/>
    <w:rsid w:val="00873902"/>
    <w:rsid w:val="00873A5B"/>
    <w:rsid w:val="00873BC0"/>
    <w:rsid w:val="00873F61"/>
    <w:rsid w:val="0087457F"/>
    <w:rsid w:val="0087481B"/>
    <w:rsid w:val="00874BD6"/>
    <w:rsid w:val="00874D95"/>
    <w:rsid w:val="00874F71"/>
    <w:rsid w:val="00874FCA"/>
    <w:rsid w:val="00875419"/>
    <w:rsid w:val="00875456"/>
    <w:rsid w:val="008758F0"/>
    <w:rsid w:val="00875A86"/>
    <w:rsid w:val="00875CB4"/>
    <w:rsid w:val="00875F97"/>
    <w:rsid w:val="00875FCE"/>
    <w:rsid w:val="00875FD6"/>
    <w:rsid w:val="00876168"/>
    <w:rsid w:val="0087662C"/>
    <w:rsid w:val="0087692C"/>
    <w:rsid w:val="00876A5C"/>
    <w:rsid w:val="00876AB6"/>
    <w:rsid w:val="00876F20"/>
    <w:rsid w:val="008770D4"/>
    <w:rsid w:val="00877357"/>
    <w:rsid w:val="008775E8"/>
    <w:rsid w:val="00877866"/>
    <w:rsid w:val="00877BA7"/>
    <w:rsid w:val="0088007C"/>
    <w:rsid w:val="008800C8"/>
    <w:rsid w:val="00880EA2"/>
    <w:rsid w:val="0088111F"/>
    <w:rsid w:val="00881175"/>
    <w:rsid w:val="008816B7"/>
    <w:rsid w:val="00881957"/>
    <w:rsid w:val="00881F7E"/>
    <w:rsid w:val="0088221A"/>
    <w:rsid w:val="00882293"/>
    <w:rsid w:val="0088243C"/>
    <w:rsid w:val="0088251E"/>
    <w:rsid w:val="0088253F"/>
    <w:rsid w:val="00882A22"/>
    <w:rsid w:val="00882A67"/>
    <w:rsid w:val="00882AAE"/>
    <w:rsid w:val="00882C20"/>
    <w:rsid w:val="00882E0D"/>
    <w:rsid w:val="00882F47"/>
    <w:rsid w:val="008831EA"/>
    <w:rsid w:val="008834B6"/>
    <w:rsid w:val="0088374D"/>
    <w:rsid w:val="00883A83"/>
    <w:rsid w:val="00883E3B"/>
    <w:rsid w:val="008846B5"/>
    <w:rsid w:val="00884A2F"/>
    <w:rsid w:val="008852A7"/>
    <w:rsid w:val="0088548C"/>
    <w:rsid w:val="0088554A"/>
    <w:rsid w:val="00885825"/>
    <w:rsid w:val="00886282"/>
    <w:rsid w:val="0088678C"/>
    <w:rsid w:val="00886822"/>
    <w:rsid w:val="00886920"/>
    <w:rsid w:val="00886CDC"/>
    <w:rsid w:val="008874AA"/>
    <w:rsid w:val="00887936"/>
    <w:rsid w:val="00887EBA"/>
    <w:rsid w:val="008901EB"/>
    <w:rsid w:val="00890230"/>
    <w:rsid w:val="00890422"/>
    <w:rsid w:val="0089073F"/>
    <w:rsid w:val="008908A8"/>
    <w:rsid w:val="00890CD5"/>
    <w:rsid w:val="00891492"/>
    <w:rsid w:val="00891792"/>
    <w:rsid w:val="00891B7F"/>
    <w:rsid w:val="00891C02"/>
    <w:rsid w:val="00892189"/>
    <w:rsid w:val="00892492"/>
    <w:rsid w:val="008924DE"/>
    <w:rsid w:val="00892735"/>
    <w:rsid w:val="00892FDA"/>
    <w:rsid w:val="008933CF"/>
    <w:rsid w:val="008933F3"/>
    <w:rsid w:val="008938E0"/>
    <w:rsid w:val="008938EF"/>
    <w:rsid w:val="008939A3"/>
    <w:rsid w:val="00893AA5"/>
    <w:rsid w:val="008949C9"/>
    <w:rsid w:val="00894AA8"/>
    <w:rsid w:val="00894C06"/>
    <w:rsid w:val="00894E1D"/>
    <w:rsid w:val="008950CA"/>
    <w:rsid w:val="008952EB"/>
    <w:rsid w:val="008953D6"/>
    <w:rsid w:val="00895480"/>
    <w:rsid w:val="008959B5"/>
    <w:rsid w:val="00895AB5"/>
    <w:rsid w:val="00895DF6"/>
    <w:rsid w:val="00895F6D"/>
    <w:rsid w:val="008961DC"/>
    <w:rsid w:val="00896B2E"/>
    <w:rsid w:val="00896BBD"/>
    <w:rsid w:val="00896F56"/>
    <w:rsid w:val="00897152"/>
    <w:rsid w:val="00897505"/>
    <w:rsid w:val="00897899"/>
    <w:rsid w:val="0089797D"/>
    <w:rsid w:val="00897AAD"/>
    <w:rsid w:val="00897E6A"/>
    <w:rsid w:val="00897E9E"/>
    <w:rsid w:val="008A008B"/>
    <w:rsid w:val="008A064C"/>
    <w:rsid w:val="008A0B70"/>
    <w:rsid w:val="008A0D9F"/>
    <w:rsid w:val="008A0ED4"/>
    <w:rsid w:val="008A160A"/>
    <w:rsid w:val="008A1ABA"/>
    <w:rsid w:val="008A1B32"/>
    <w:rsid w:val="008A1D70"/>
    <w:rsid w:val="008A1DB4"/>
    <w:rsid w:val="008A200D"/>
    <w:rsid w:val="008A20AF"/>
    <w:rsid w:val="008A2AB9"/>
    <w:rsid w:val="008A2B50"/>
    <w:rsid w:val="008A2EBB"/>
    <w:rsid w:val="008A357B"/>
    <w:rsid w:val="008A3626"/>
    <w:rsid w:val="008A365B"/>
    <w:rsid w:val="008A3781"/>
    <w:rsid w:val="008A389E"/>
    <w:rsid w:val="008A3B42"/>
    <w:rsid w:val="008A3B82"/>
    <w:rsid w:val="008A3C4B"/>
    <w:rsid w:val="008A3E14"/>
    <w:rsid w:val="008A427F"/>
    <w:rsid w:val="008A431B"/>
    <w:rsid w:val="008A4364"/>
    <w:rsid w:val="008A4415"/>
    <w:rsid w:val="008A4535"/>
    <w:rsid w:val="008A4CFC"/>
    <w:rsid w:val="008A5579"/>
    <w:rsid w:val="008A57FA"/>
    <w:rsid w:val="008A5D6E"/>
    <w:rsid w:val="008A5DC3"/>
    <w:rsid w:val="008A5E6F"/>
    <w:rsid w:val="008A5F66"/>
    <w:rsid w:val="008A5FE5"/>
    <w:rsid w:val="008A6016"/>
    <w:rsid w:val="008A6265"/>
    <w:rsid w:val="008A6398"/>
    <w:rsid w:val="008A641A"/>
    <w:rsid w:val="008A721E"/>
    <w:rsid w:val="008A76E6"/>
    <w:rsid w:val="008A7BBC"/>
    <w:rsid w:val="008B0184"/>
    <w:rsid w:val="008B0B55"/>
    <w:rsid w:val="008B0BF3"/>
    <w:rsid w:val="008B0E25"/>
    <w:rsid w:val="008B1755"/>
    <w:rsid w:val="008B1847"/>
    <w:rsid w:val="008B1A4A"/>
    <w:rsid w:val="008B1B33"/>
    <w:rsid w:val="008B1B46"/>
    <w:rsid w:val="008B20EC"/>
    <w:rsid w:val="008B2D41"/>
    <w:rsid w:val="008B30B7"/>
    <w:rsid w:val="008B371E"/>
    <w:rsid w:val="008B3BB2"/>
    <w:rsid w:val="008B3E9E"/>
    <w:rsid w:val="008B3FE5"/>
    <w:rsid w:val="008B421F"/>
    <w:rsid w:val="008B446F"/>
    <w:rsid w:val="008B4CBD"/>
    <w:rsid w:val="008B4F97"/>
    <w:rsid w:val="008B53AF"/>
    <w:rsid w:val="008B5441"/>
    <w:rsid w:val="008B57E1"/>
    <w:rsid w:val="008B5B45"/>
    <w:rsid w:val="008B64A1"/>
    <w:rsid w:val="008B6514"/>
    <w:rsid w:val="008B68A4"/>
    <w:rsid w:val="008B6C1D"/>
    <w:rsid w:val="008B71E7"/>
    <w:rsid w:val="008B755F"/>
    <w:rsid w:val="008C04EE"/>
    <w:rsid w:val="008C0597"/>
    <w:rsid w:val="008C05C1"/>
    <w:rsid w:val="008C0A5B"/>
    <w:rsid w:val="008C0D13"/>
    <w:rsid w:val="008C0F03"/>
    <w:rsid w:val="008C1293"/>
    <w:rsid w:val="008C1989"/>
    <w:rsid w:val="008C2131"/>
    <w:rsid w:val="008C213C"/>
    <w:rsid w:val="008C2347"/>
    <w:rsid w:val="008C24B3"/>
    <w:rsid w:val="008C2863"/>
    <w:rsid w:val="008C28FF"/>
    <w:rsid w:val="008C2F0C"/>
    <w:rsid w:val="008C3328"/>
    <w:rsid w:val="008C3408"/>
    <w:rsid w:val="008C352C"/>
    <w:rsid w:val="008C3610"/>
    <w:rsid w:val="008C38D1"/>
    <w:rsid w:val="008C38E5"/>
    <w:rsid w:val="008C406B"/>
    <w:rsid w:val="008C444B"/>
    <w:rsid w:val="008C4505"/>
    <w:rsid w:val="008C45B4"/>
    <w:rsid w:val="008C47E3"/>
    <w:rsid w:val="008C4B5B"/>
    <w:rsid w:val="008C537D"/>
    <w:rsid w:val="008C5450"/>
    <w:rsid w:val="008C5A1A"/>
    <w:rsid w:val="008C5C6E"/>
    <w:rsid w:val="008C6724"/>
    <w:rsid w:val="008C6A11"/>
    <w:rsid w:val="008C6DDA"/>
    <w:rsid w:val="008C70B6"/>
    <w:rsid w:val="008C754A"/>
    <w:rsid w:val="008C7611"/>
    <w:rsid w:val="008C7C2E"/>
    <w:rsid w:val="008C7C49"/>
    <w:rsid w:val="008C7E46"/>
    <w:rsid w:val="008D0184"/>
    <w:rsid w:val="008D0C7B"/>
    <w:rsid w:val="008D0EAF"/>
    <w:rsid w:val="008D174F"/>
    <w:rsid w:val="008D1959"/>
    <w:rsid w:val="008D1B90"/>
    <w:rsid w:val="008D216C"/>
    <w:rsid w:val="008D2385"/>
    <w:rsid w:val="008D26B9"/>
    <w:rsid w:val="008D282D"/>
    <w:rsid w:val="008D294F"/>
    <w:rsid w:val="008D2A55"/>
    <w:rsid w:val="008D2B41"/>
    <w:rsid w:val="008D2B75"/>
    <w:rsid w:val="008D3054"/>
    <w:rsid w:val="008D342F"/>
    <w:rsid w:val="008D35D6"/>
    <w:rsid w:val="008D3AF9"/>
    <w:rsid w:val="008D3B0A"/>
    <w:rsid w:val="008D3BA9"/>
    <w:rsid w:val="008D3D41"/>
    <w:rsid w:val="008D418F"/>
    <w:rsid w:val="008D4432"/>
    <w:rsid w:val="008D4B14"/>
    <w:rsid w:val="008D4C93"/>
    <w:rsid w:val="008D4F2B"/>
    <w:rsid w:val="008D5354"/>
    <w:rsid w:val="008D542E"/>
    <w:rsid w:val="008D5487"/>
    <w:rsid w:val="008D54E6"/>
    <w:rsid w:val="008D55FE"/>
    <w:rsid w:val="008D5DE2"/>
    <w:rsid w:val="008D5E53"/>
    <w:rsid w:val="008D63B7"/>
    <w:rsid w:val="008D6650"/>
    <w:rsid w:val="008D6982"/>
    <w:rsid w:val="008D7202"/>
    <w:rsid w:val="008D727A"/>
    <w:rsid w:val="008D7721"/>
    <w:rsid w:val="008D7756"/>
    <w:rsid w:val="008D77EE"/>
    <w:rsid w:val="008D79C4"/>
    <w:rsid w:val="008E0070"/>
    <w:rsid w:val="008E0172"/>
    <w:rsid w:val="008E0792"/>
    <w:rsid w:val="008E0ACD"/>
    <w:rsid w:val="008E0D4F"/>
    <w:rsid w:val="008E1332"/>
    <w:rsid w:val="008E1DE9"/>
    <w:rsid w:val="008E209C"/>
    <w:rsid w:val="008E2406"/>
    <w:rsid w:val="008E24D0"/>
    <w:rsid w:val="008E2C7C"/>
    <w:rsid w:val="008E2F1A"/>
    <w:rsid w:val="008E31F6"/>
    <w:rsid w:val="008E33EF"/>
    <w:rsid w:val="008E39B0"/>
    <w:rsid w:val="008E3E51"/>
    <w:rsid w:val="008E439B"/>
    <w:rsid w:val="008E4B27"/>
    <w:rsid w:val="008E4B4E"/>
    <w:rsid w:val="008E4DA7"/>
    <w:rsid w:val="008E4EAE"/>
    <w:rsid w:val="008E56BB"/>
    <w:rsid w:val="008E5911"/>
    <w:rsid w:val="008E5ACC"/>
    <w:rsid w:val="008E60FE"/>
    <w:rsid w:val="008E6C4F"/>
    <w:rsid w:val="008E6D89"/>
    <w:rsid w:val="008E6D98"/>
    <w:rsid w:val="008E7357"/>
    <w:rsid w:val="008E7941"/>
    <w:rsid w:val="008E7AC2"/>
    <w:rsid w:val="008E7D42"/>
    <w:rsid w:val="008E7DE7"/>
    <w:rsid w:val="008E7F67"/>
    <w:rsid w:val="008F00B8"/>
    <w:rsid w:val="008F03F8"/>
    <w:rsid w:val="008F04A2"/>
    <w:rsid w:val="008F0F72"/>
    <w:rsid w:val="008F1066"/>
    <w:rsid w:val="008F1195"/>
    <w:rsid w:val="008F1282"/>
    <w:rsid w:val="008F15D8"/>
    <w:rsid w:val="008F1CF2"/>
    <w:rsid w:val="008F1DB2"/>
    <w:rsid w:val="008F218D"/>
    <w:rsid w:val="008F2461"/>
    <w:rsid w:val="008F25CB"/>
    <w:rsid w:val="008F2A0F"/>
    <w:rsid w:val="008F3259"/>
    <w:rsid w:val="008F3327"/>
    <w:rsid w:val="008F355F"/>
    <w:rsid w:val="008F36A7"/>
    <w:rsid w:val="008F380B"/>
    <w:rsid w:val="008F3A51"/>
    <w:rsid w:val="008F3BA7"/>
    <w:rsid w:val="008F3C2E"/>
    <w:rsid w:val="008F449E"/>
    <w:rsid w:val="008F4B9A"/>
    <w:rsid w:val="008F4CAC"/>
    <w:rsid w:val="008F50A2"/>
    <w:rsid w:val="008F565E"/>
    <w:rsid w:val="008F578B"/>
    <w:rsid w:val="008F587E"/>
    <w:rsid w:val="008F5AFC"/>
    <w:rsid w:val="008F5CEE"/>
    <w:rsid w:val="008F622E"/>
    <w:rsid w:val="008F62A0"/>
    <w:rsid w:val="008F6319"/>
    <w:rsid w:val="008F677F"/>
    <w:rsid w:val="008F6A2B"/>
    <w:rsid w:val="008F6DA9"/>
    <w:rsid w:val="008F6DF0"/>
    <w:rsid w:val="008F7006"/>
    <w:rsid w:val="008F70D3"/>
    <w:rsid w:val="008F72D2"/>
    <w:rsid w:val="008F7372"/>
    <w:rsid w:val="008F7507"/>
    <w:rsid w:val="008F7821"/>
    <w:rsid w:val="008F7A18"/>
    <w:rsid w:val="008F7DE1"/>
    <w:rsid w:val="008F7FC1"/>
    <w:rsid w:val="009000F1"/>
    <w:rsid w:val="009001CF"/>
    <w:rsid w:val="009002F8"/>
    <w:rsid w:val="009005BA"/>
    <w:rsid w:val="009007DE"/>
    <w:rsid w:val="00900856"/>
    <w:rsid w:val="00900900"/>
    <w:rsid w:val="00900B71"/>
    <w:rsid w:val="00900FC0"/>
    <w:rsid w:val="00901573"/>
    <w:rsid w:val="00901687"/>
    <w:rsid w:val="00901696"/>
    <w:rsid w:val="00901E7F"/>
    <w:rsid w:val="00901F32"/>
    <w:rsid w:val="009020AA"/>
    <w:rsid w:val="00902151"/>
    <w:rsid w:val="009023DB"/>
    <w:rsid w:val="0090268E"/>
    <w:rsid w:val="0090290D"/>
    <w:rsid w:val="00902D47"/>
    <w:rsid w:val="00903AAB"/>
    <w:rsid w:val="00903F98"/>
    <w:rsid w:val="00904027"/>
    <w:rsid w:val="009044D6"/>
    <w:rsid w:val="00904825"/>
    <w:rsid w:val="00904B66"/>
    <w:rsid w:val="00904D7C"/>
    <w:rsid w:val="00904E8D"/>
    <w:rsid w:val="00904F93"/>
    <w:rsid w:val="009056CE"/>
    <w:rsid w:val="00905A4F"/>
    <w:rsid w:val="00905C36"/>
    <w:rsid w:val="00905F04"/>
    <w:rsid w:val="00906078"/>
    <w:rsid w:val="00906252"/>
    <w:rsid w:val="00906449"/>
    <w:rsid w:val="0090662A"/>
    <w:rsid w:val="00906751"/>
    <w:rsid w:val="00906759"/>
    <w:rsid w:val="00906AB6"/>
    <w:rsid w:val="00906D36"/>
    <w:rsid w:val="009074BA"/>
    <w:rsid w:val="009075BE"/>
    <w:rsid w:val="00907B87"/>
    <w:rsid w:val="009103F6"/>
    <w:rsid w:val="00910A3F"/>
    <w:rsid w:val="00910EE9"/>
    <w:rsid w:val="009110EC"/>
    <w:rsid w:val="00911333"/>
    <w:rsid w:val="009117BC"/>
    <w:rsid w:val="00911AFA"/>
    <w:rsid w:val="00911EDC"/>
    <w:rsid w:val="00912652"/>
    <w:rsid w:val="009127D3"/>
    <w:rsid w:val="00912A50"/>
    <w:rsid w:val="00913272"/>
    <w:rsid w:val="00913623"/>
    <w:rsid w:val="009138BF"/>
    <w:rsid w:val="0091395C"/>
    <w:rsid w:val="0091400B"/>
    <w:rsid w:val="0091408B"/>
    <w:rsid w:val="00914D89"/>
    <w:rsid w:val="00914EE5"/>
    <w:rsid w:val="0091533A"/>
    <w:rsid w:val="00915693"/>
    <w:rsid w:val="009158BC"/>
    <w:rsid w:val="009159E9"/>
    <w:rsid w:val="00915C35"/>
    <w:rsid w:val="00915D84"/>
    <w:rsid w:val="009164AC"/>
    <w:rsid w:val="00916682"/>
    <w:rsid w:val="009168DB"/>
    <w:rsid w:val="009169CA"/>
    <w:rsid w:val="00916DF3"/>
    <w:rsid w:val="00917365"/>
    <w:rsid w:val="0091744F"/>
    <w:rsid w:val="0091789E"/>
    <w:rsid w:val="00917BD8"/>
    <w:rsid w:val="00917EF3"/>
    <w:rsid w:val="0092004F"/>
    <w:rsid w:val="00920299"/>
    <w:rsid w:val="00920648"/>
    <w:rsid w:val="00920774"/>
    <w:rsid w:val="00920856"/>
    <w:rsid w:val="009210DB"/>
    <w:rsid w:val="009216CC"/>
    <w:rsid w:val="0092172F"/>
    <w:rsid w:val="0092180C"/>
    <w:rsid w:val="00921C42"/>
    <w:rsid w:val="00922321"/>
    <w:rsid w:val="0092254C"/>
    <w:rsid w:val="009225C1"/>
    <w:rsid w:val="00922ADB"/>
    <w:rsid w:val="00922F70"/>
    <w:rsid w:val="00922F7A"/>
    <w:rsid w:val="00923156"/>
    <w:rsid w:val="00923271"/>
    <w:rsid w:val="0092329D"/>
    <w:rsid w:val="009232EF"/>
    <w:rsid w:val="0092338F"/>
    <w:rsid w:val="00923667"/>
    <w:rsid w:val="00923CB0"/>
    <w:rsid w:val="00923F19"/>
    <w:rsid w:val="0092406F"/>
    <w:rsid w:val="00924553"/>
    <w:rsid w:val="009247DB"/>
    <w:rsid w:val="00924C36"/>
    <w:rsid w:val="0092518E"/>
    <w:rsid w:val="009251E8"/>
    <w:rsid w:val="00925257"/>
    <w:rsid w:val="009256B8"/>
    <w:rsid w:val="009263B6"/>
    <w:rsid w:val="009269D2"/>
    <w:rsid w:val="00926BD5"/>
    <w:rsid w:val="00926E00"/>
    <w:rsid w:val="00926FAA"/>
    <w:rsid w:val="0092770D"/>
    <w:rsid w:val="00927CD0"/>
    <w:rsid w:val="00927FF2"/>
    <w:rsid w:val="00930383"/>
    <w:rsid w:val="00930BB6"/>
    <w:rsid w:val="00931332"/>
    <w:rsid w:val="0093156A"/>
    <w:rsid w:val="00931702"/>
    <w:rsid w:val="00931815"/>
    <w:rsid w:val="00931D7E"/>
    <w:rsid w:val="00932405"/>
    <w:rsid w:val="009328BF"/>
    <w:rsid w:val="00932A19"/>
    <w:rsid w:val="00932FF7"/>
    <w:rsid w:val="009334AB"/>
    <w:rsid w:val="009337BB"/>
    <w:rsid w:val="00933826"/>
    <w:rsid w:val="0093398E"/>
    <w:rsid w:val="00933CDB"/>
    <w:rsid w:val="00934070"/>
    <w:rsid w:val="009348E0"/>
    <w:rsid w:val="00934C02"/>
    <w:rsid w:val="00934CC1"/>
    <w:rsid w:val="009350CA"/>
    <w:rsid w:val="0093546A"/>
    <w:rsid w:val="00935792"/>
    <w:rsid w:val="00935DE2"/>
    <w:rsid w:val="009360CD"/>
    <w:rsid w:val="00936480"/>
    <w:rsid w:val="0093672C"/>
    <w:rsid w:val="00937047"/>
    <w:rsid w:val="009373BE"/>
    <w:rsid w:val="009375AA"/>
    <w:rsid w:val="0093760C"/>
    <w:rsid w:val="00937846"/>
    <w:rsid w:val="00937887"/>
    <w:rsid w:val="00937BFB"/>
    <w:rsid w:val="00937C18"/>
    <w:rsid w:val="0094030D"/>
    <w:rsid w:val="0094034D"/>
    <w:rsid w:val="00940432"/>
    <w:rsid w:val="0094062A"/>
    <w:rsid w:val="00940639"/>
    <w:rsid w:val="00940885"/>
    <w:rsid w:val="00940892"/>
    <w:rsid w:val="00940DC1"/>
    <w:rsid w:val="00940E5D"/>
    <w:rsid w:val="009411E8"/>
    <w:rsid w:val="009415E5"/>
    <w:rsid w:val="009418FA"/>
    <w:rsid w:val="00941938"/>
    <w:rsid w:val="00941F1D"/>
    <w:rsid w:val="00942108"/>
    <w:rsid w:val="009421FF"/>
    <w:rsid w:val="00942E37"/>
    <w:rsid w:val="00942E5F"/>
    <w:rsid w:val="00943404"/>
    <w:rsid w:val="0094342A"/>
    <w:rsid w:val="009437E2"/>
    <w:rsid w:val="009438BA"/>
    <w:rsid w:val="00943D0A"/>
    <w:rsid w:val="00944014"/>
    <w:rsid w:val="00944231"/>
    <w:rsid w:val="00944D2B"/>
    <w:rsid w:val="00944DCC"/>
    <w:rsid w:val="00945371"/>
    <w:rsid w:val="00945378"/>
    <w:rsid w:val="00945461"/>
    <w:rsid w:val="0094554C"/>
    <w:rsid w:val="00945DEE"/>
    <w:rsid w:val="00945FFF"/>
    <w:rsid w:val="009466D3"/>
    <w:rsid w:val="00946863"/>
    <w:rsid w:val="0094698F"/>
    <w:rsid w:val="00946B0D"/>
    <w:rsid w:val="00946F07"/>
    <w:rsid w:val="0094704A"/>
    <w:rsid w:val="00947055"/>
    <w:rsid w:val="0094730F"/>
    <w:rsid w:val="009476BD"/>
    <w:rsid w:val="009476CF"/>
    <w:rsid w:val="00950047"/>
    <w:rsid w:val="009501B3"/>
    <w:rsid w:val="009501CD"/>
    <w:rsid w:val="00950202"/>
    <w:rsid w:val="00950847"/>
    <w:rsid w:val="00950AA0"/>
    <w:rsid w:val="00950B32"/>
    <w:rsid w:val="00950ECA"/>
    <w:rsid w:val="009511C3"/>
    <w:rsid w:val="00952212"/>
    <w:rsid w:val="0095282B"/>
    <w:rsid w:val="00952B22"/>
    <w:rsid w:val="00952E40"/>
    <w:rsid w:val="00952FBB"/>
    <w:rsid w:val="009530A5"/>
    <w:rsid w:val="00953C2F"/>
    <w:rsid w:val="00953EAC"/>
    <w:rsid w:val="00953F9D"/>
    <w:rsid w:val="00954328"/>
    <w:rsid w:val="009544F6"/>
    <w:rsid w:val="00954776"/>
    <w:rsid w:val="00954CFD"/>
    <w:rsid w:val="009553F5"/>
    <w:rsid w:val="0095564A"/>
    <w:rsid w:val="00955D7E"/>
    <w:rsid w:val="00955F14"/>
    <w:rsid w:val="009562AF"/>
    <w:rsid w:val="00956497"/>
    <w:rsid w:val="009566AC"/>
    <w:rsid w:val="0095673E"/>
    <w:rsid w:val="009568A3"/>
    <w:rsid w:val="00956AE9"/>
    <w:rsid w:val="00956B4B"/>
    <w:rsid w:val="00956BDE"/>
    <w:rsid w:val="00957363"/>
    <w:rsid w:val="009577E6"/>
    <w:rsid w:val="009579DC"/>
    <w:rsid w:val="00957A03"/>
    <w:rsid w:val="009607E3"/>
    <w:rsid w:val="009609BB"/>
    <w:rsid w:val="00960DD7"/>
    <w:rsid w:val="00961186"/>
    <w:rsid w:val="00961537"/>
    <w:rsid w:val="00961975"/>
    <w:rsid w:val="00961AD6"/>
    <w:rsid w:val="00961AF6"/>
    <w:rsid w:val="00961E6D"/>
    <w:rsid w:val="00961E8E"/>
    <w:rsid w:val="0096215D"/>
    <w:rsid w:val="00962CBD"/>
    <w:rsid w:val="00962CF3"/>
    <w:rsid w:val="00962E42"/>
    <w:rsid w:val="00962FA3"/>
    <w:rsid w:val="0096305B"/>
    <w:rsid w:val="00963B79"/>
    <w:rsid w:val="00963BF0"/>
    <w:rsid w:val="00963EA1"/>
    <w:rsid w:val="009642EA"/>
    <w:rsid w:val="0096459D"/>
    <w:rsid w:val="00964954"/>
    <w:rsid w:val="00965793"/>
    <w:rsid w:val="009657DF"/>
    <w:rsid w:val="009659BD"/>
    <w:rsid w:val="00965D27"/>
    <w:rsid w:val="00966308"/>
    <w:rsid w:val="00966C1D"/>
    <w:rsid w:val="00966E09"/>
    <w:rsid w:val="00967207"/>
    <w:rsid w:val="0096721A"/>
    <w:rsid w:val="00967382"/>
    <w:rsid w:val="00967456"/>
    <w:rsid w:val="00967CDD"/>
    <w:rsid w:val="00970101"/>
    <w:rsid w:val="00970643"/>
    <w:rsid w:val="00970662"/>
    <w:rsid w:val="009710D2"/>
    <w:rsid w:val="00971469"/>
    <w:rsid w:val="00971876"/>
    <w:rsid w:val="00971990"/>
    <w:rsid w:val="00971B90"/>
    <w:rsid w:val="009722D7"/>
    <w:rsid w:val="0097307D"/>
    <w:rsid w:val="009733AF"/>
    <w:rsid w:val="0097358E"/>
    <w:rsid w:val="00973936"/>
    <w:rsid w:val="00973D64"/>
    <w:rsid w:val="00973E47"/>
    <w:rsid w:val="00974040"/>
    <w:rsid w:val="009740DD"/>
    <w:rsid w:val="009740FB"/>
    <w:rsid w:val="00974322"/>
    <w:rsid w:val="00975DBE"/>
    <w:rsid w:val="00975EA2"/>
    <w:rsid w:val="009760F6"/>
    <w:rsid w:val="0097650C"/>
    <w:rsid w:val="0097667E"/>
    <w:rsid w:val="00976B62"/>
    <w:rsid w:val="00976C96"/>
    <w:rsid w:val="00976CF9"/>
    <w:rsid w:val="0097710C"/>
    <w:rsid w:val="00977111"/>
    <w:rsid w:val="009772A6"/>
    <w:rsid w:val="009772B6"/>
    <w:rsid w:val="009775AD"/>
    <w:rsid w:val="00977A82"/>
    <w:rsid w:val="00977C2E"/>
    <w:rsid w:val="00977C36"/>
    <w:rsid w:val="0098002A"/>
    <w:rsid w:val="009806D6"/>
    <w:rsid w:val="009806F7"/>
    <w:rsid w:val="0098087C"/>
    <w:rsid w:val="009809A7"/>
    <w:rsid w:val="00980CFB"/>
    <w:rsid w:val="00980F14"/>
    <w:rsid w:val="00980F79"/>
    <w:rsid w:val="00981018"/>
    <w:rsid w:val="00981B35"/>
    <w:rsid w:val="00981BB9"/>
    <w:rsid w:val="00981CD4"/>
    <w:rsid w:val="00981D76"/>
    <w:rsid w:val="00981DAA"/>
    <w:rsid w:val="00981F5B"/>
    <w:rsid w:val="009821BE"/>
    <w:rsid w:val="0098241B"/>
    <w:rsid w:val="00982595"/>
    <w:rsid w:val="009829F3"/>
    <w:rsid w:val="00982AC0"/>
    <w:rsid w:val="00982C65"/>
    <w:rsid w:val="00982F86"/>
    <w:rsid w:val="009831E3"/>
    <w:rsid w:val="009834F3"/>
    <w:rsid w:val="00984112"/>
    <w:rsid w:val="00984211"/>
    <w:rsid w:val="0098471F"/>
    <w:rsid w:val="0098477E"/>
    <w:rsid w:val="00984E72"/>
    <w:rsid w:val="0098531D"/>
    <w:rsid w:val="00985B98"/>
    <w:rsid w:val="00986316"/>
    <w:rsid w:val="009865CC"/>
    <w:rsid w:val="00986725"/>
    <w:rsid w:val="00986D98"/>
    <w:rsid w:val="00986F44"/>
    <w:rsid w:val="009872EC"/>
    <w:rsid w:val="009873AD"/>
    <w:rsid w:val="00987526"/>
    <w:rsid w:val="00987781"/>
    <w:rsid w:val="00987785"/>
    <w:rsid w:val="0099067F"/>
    <w:rsid w:val="0099094A"/>
    <w:rsid w:val="00990EFA"/>
    <w:rsid w:val="00991291"/>
    <w:rsid w:val="009916BA"/>
    <w:rsid w:val="00991888"/>
    <w:rsid w:val="00991B1E"/>
    <w:rsid w:val="00991DC1"/>
    <w:rsid w:val="00991F73"/>
    <w:rsid w:val="0099262A"/>
    <w:rsid w:val="0099267A"/>
    <w:rsid w:val="0099277F"/>
    <w:rsid w:val="00992C93"/>
    <w:rsid w:val="00992CC8"/>
    <w:rsid w:val="00992D38"/>
    <w:rsid w:val="00992D5F"/>
    <w:rsid w:val="00992EBE"/>
    <w:rsid w:val="0099427E"/>
    <w:rsid w:val="00994913"/>
    <w:rsid w:val="00995322"/>
    <w:rsid w:val="00995494"/>
    <w:rsid w:val="0099553A"/>
    <w:rsid w:val="0099578A"/>
    <w:rsid w:val="00995851"/>
    <w:rsid w:val="00995CBC"/>
    <w:rsid w:val="009960B7"/>
    <w:rsid w:val="00996406"/>
    <w:rsid w:val="0099646E"/>
    <w:rsid w:val="009967A1"/>
    <w:rsid w:val="00996AD3"/>
    <w:rsid w:val="0099729B"/>
    <w:rsid w:val="009973EA"/>
    <w:rsid w:val="00997470"/>
    <w:rsid w:val="0099749D"/>
    <w:rsid w:val="00997D12"/>
    <w:rsid w:val="00997F00"/>
    <w:rsid w:val="00997FC8"/>
    <w:rsid w:val="009A014C"/>
    <w:rsid w:val="009A07F3"/>
    <w:rsid w:val="009A0EAA"/>
    <w:rsid w:val="009A18BF"/>
    <w:rsid w:val="009A1B5A"/>
    <w:rsid w:val="009A1D2E"/>
    <w:rsid w:val="009A2A11"/>
    <w:rsid w:val="009A2B00"/>
    <w:rsid w:val="009A2B48"/>
    <w:rsid w:val="009A3285"/>
    <w:rsid w:val="009A34A9"/>
    <w:rsid w:val="009A3510"/>
    <w:rsid w:val="009A352A"/>
    <w:rsid w:val="009A354E"/>
    <w:rsid w:val="009A359C"/>
    <w:rsid w:val="009A36C3"/>
    <w:rsid w:val="009A36DE"/>
    <w:rsid w:val="009A3945"/>
    <w:rsid w:val="009A3C55"/>
    <w:rsid w:val="009A3CB7"/>
    <w:rsid w:val="009A4019"/>
    <w:rsid w:val="009A4250"/>
    <w:rsid w:val="009A486F"/>
    <w:rsid w:val="009A4B07"/>
    <w:rsid w:val="009A4B1E"/>
    <w:rsid w:val="009A509F"/>
    <w:rsid w:val="009A549A"/>
    <w:rsid w:val="009A5988"/>
    <w:rsid w:val="009A6341"/>
    <w:rsid w:val="009A65D6"/>
    <w:rsid w:val="009A6A19"/>
    <w:rsid w:val="009A6B5E"/>
    <w:rsid w:val="009A6E24"/>
    <w:rsid w:val="009A6EFF"/>
    <w:rsid w:val="009A75EC"/>
    <w:rsid w:val="009A75F3"/>
    <w:rsid w:val="009A7A80"/>
    <w:rsid w:val="009A7C51"/>
    <w:rsid w:val="009A7DE6"/>
    <w:rsid w:val="009A7E78"/>
    <w:rsid w:val="009A7FC1"/>
    <w:rsid w:val="009B006B"/>
    <w:rsid w:val="009B048A"/>
    <w:rsid w:val="009B068F"/>
    <w:rsid w:val="009B0C84"/>
    <w:rsid w:val="009B0E4F"/>
    <w:rsid w:val="009B0FA4"/>
    <w:rsid w:val="009B15C0"/>
    <w:rsid w:val="009B172A"/>
    <w:rsid w:val="009B175F"/>
    <w:rsid w:val="009B1975"/>
    <w:rsid w:val="009B1A78"/>
    <w:rsid w:val="009B1E6A"/>
    <w:rsid w:val="009B1EBF"/>
    <w:rsid w:val="009B1F64"/>
    <w:rsid w:val="009B1F6B"/>
    <w:rsid w:val="009B2051"/>
    <w:rsid w:val="009B2267"/>
    <w:rsid w:val="009B287C"/>
    <w:rsid w:val="009B2AA8"/>
    <w:rsid w:val="009B2CAF"/>
    <w:rsid w:val="009B2D93"/>
    <w:rsid w:val="009B30D7"/>
    <w:rsid w:val="009B32F9"/>
    <w:rsid w:val="009B3315"/>
    <w:rsid w:val="009B3352"/>
    <w:rsid w:val="009B3598"/>
    <w:rsid w:val="009B38CE"/>
    <w:rsid w:val="009B41BE"/>
    <w:rsid w:val="009B44D7"/>
    <w:rsid w:val="009B45D4"/>
    <w:rsid w:val="009B489D"/>
    <w:rsid w:val="009B4A3B"/>
    <w:rsid w:val="009B4A5F"/>
    <w:rsid w:val="009B4F55"/>
    <w:rsid w:val="009B5089"/>
    <w:rsid w:val="009B5BBF"/>
    <w:rsid w:val="009B5D5A"/>
    <w:rsid w:val="009B64B0"/>
    <w:rsid w:val="009B67FA"/>
    <w:rsid w:val="009B6F1D"/>
    <w:rsid w:val="009B6F95"/>
    <w:rsid w:val="009B70B8"/>
    <w:rsid w:val="009B715A"/>
    <w:rsid w:val="009B735C"/>
    <w:rsid w:val="009B7528"/>
    <w:rsid w:val="009B7886"/>
    <w:rsid w:val="009B7E18"/>
    <w:rsid w:val="009C01A0"/>
    <w:rsid w:val="009C022D"/>
    <w:rsid w:val="009C027E"/>
    <w:rsid w:val="009C05A5"/>
    <w:rsid w:val="009C0A69"/>
    <w:rsid w:val="009C1819"/>
    <w:rsid w:val="009C183C"/>
    <w:rsid w:val="009C18FA"/>
    <w:rsid w:val="009C1A73"/>
    <w:rsid w:val="009C1FAF"/>
    <w:rsid w:val="009C2167"/>
    <w:rsid w:val="009C2223"/>
    <w:rsid w:val="009C23AA"/>
    <w:rsid w:val="009C24A6"/>
    <w:rsid w:val="009C268E"/>
    <w:rsid w:val="009C279A"/>
    <w:rsid w:val="009C27B6"/>
    <w:rsid w:val="009C296A"/>
    <w:rsid w:val="009C2B10"/>
    <w:rsid w:val="009C2F9F"/>
    <w:rsid w:val="009C2FE4"/>
    <w:rsid w:val="009C314D"/>
    <w:rsid w:val="009C32E4"/>
    <w:rsid w:val="009C3361"/>
    <w:rsid w:val="009C3430"/>
    <w:rsid w:val="009C36F8"/>
    <w:rsid w:val="009C3846"/>
    <w:rsid w:val="009C385F"/>
    <w:rsid w:val="009C39C7"/>
    <w:rsid w:val="009C40BE"/>
    <w:rsid w:val="009C460A"/>
    <w:rsid w:val="009C4644"/>
    <w:rsid w:val="009C4745"/>
    <w:rsid w:val="009C47C9"/>
    <w:rsid w:val="009C4805"/>
    <w:rsid w:val="009C4820"/>
    <w:rsid w:val="009C4879"/>
    <w:rsid w:val="009C4A36"/>
    <w:rsid w:val="009C4AF8"/>
    <w:rsid w:val="009C51FB"/>
    <w:rsid w:val="009C5463"/>
    <w:rsid w:val="009C57FE"/>
    <w:rsid w:val="009C5DE5"/>
    <w:rsid w:val="009C61FE"/>
    <w:rsid w:val="009C6445"/>
    <w:rsid w:val="009C65B1"/>
    <w:rsid w:val="009C6692"/>
    <w:rsid w:val="009C6A2D"/>
    <w:rsid w:val="009C6BCF"/>
    <w:rsid w:val="009C71FD"/>
    <w:rsid w:val="009C738C"/>
    <w:rsid w:val="009C73E1"/>
    <w:rsid w:val="009C743F"/>
    <w:rsid w:val="009C788A"/>
    <w:rsid w:val="009C7CBF"/>
    <w:rsid w:val="009D0169"/>
    <w:rsid w:val="009D02F5"/>
    <w:rsid w:val="009D0315"/>
    <w:rsid w:val="009D03B4"/>
    <w:rsid w:val="009D060D"/>
    <w:rsid w:val="009D0B2E"/>
    <w:rsid w:val="009D18E3"/>
    <w:rsid w:val="009D1C84"/>
    <w:rsid w:val="009D1E64"/>
    <w:rsid w:val="009D212D"/>
    <w:rsid w:val="009D230E"/>
    <w:rsid w:val="009D23A3"/>
    <w:rsid w:val="009D315C"/>
    <w:rsid w:val="009D356A"/>
    <w:rsid w:val="009D3A7D"/>
    <w:rsid w:val="009D3ADE"/>
    <w:rsid w:val="009D3F70"/>
    <w:rsid w:val="009D41A4"/>
    <w:rsid w:val="009D4842"/>
    <w:rsid w:val="009D4A9D"/>
    <w:rsid w:val="009D4D24"/>
    <w:rsid w:val="009D4DA4"/>
    <w:rsid w:val="009D51B3"/>
    <w:rsid w:val="009D5569"/>
    <w:rsid w:val="009D5C29"/>
    <w:rsid w:val="009D6235"/>
    <w:rsid w:val="009D6396"/>
    <w:rsid w:val="009D653A"/>
    <w:rsid w:val="009D6BC1"/>
    <w:rsid w:val="009D713B"/>
    <w:rsid w:val="009D74E7"/>
    <w:rsid w:val="009D7684"/>
    <w:rsid w:val="009D7AF3"/>
    <w:rsid w:val="009E02B8"/>
    <w:rsid w:val="009E030A"/>
    <w:rsid w:val="009E0BD4"/>
    <w:rsid w:val="009E1699"/>
    <w:rsid w:val="009E1758"/>
    <w:rsid w:val="009E17B1"/>
    <w:rsid w:val="009E1ABA"/>
    <w:rsid w:val="009E1ED1"/>
    <w:rsid w:val="009E1EE1"/>
    <w:rsid w:val="009E2034"/>
    <w:rsid w:val="009E212C"/>
    <w:rsid w:val="009E2847"/>
    <w:rsid w:val="009E2EA8"/>
    <w:rsid w:val="009E330C"/>
    <w:rsid w:val="009E362B"/>
    <w:rsid w:val="009E39E1"/>
    <w:rsid w:val="009E3B93"/>
    <w:rsid w:val="009E416F"/>
    <w:rsid w:val="009E4503"/>
    <w:rsid w:val="009E4580"/>
    <w:rsid w:val="009E459B"/>
    <w:rsid w:val="009E4983"/>
    <w:rsid w:val="009E4C3B"/>
    <w:rsid w:val="009E4C79"/>
    <w:rsid w:val="009E4D2A"/>
    <w:rsid w:val="009E5125"/>
    <w:rsid w:val="009E57D9"/>
    <w:rsid w:val="009E58AC"/>
    <w:rsid w:val="009E58F9"/>
    <w:rsid w:val="009E5DD7"/>
    <w:rsid w:val="009E60E0"/>
    <w:rsid w:val="009E635C"/>
    <w:rsid w:val="009E7215"/>
    <w:rsid w:val="009E7605"/>
    <w:rsid w:val="009E7789"/>
    <w:rsid w:val="009E7969"/>
    <w:rsid w:val="009E7C57"/>
    <w:rsid w:val="009F00FC"/>
    <w:rsid w:val="009F020F"/>
    <w:rsid w:val="009F03A5"/>
    <w:rsid w:val="009F099A"/>
    <w:rsid w:val="009F0A70"/>
    <w:rsid w:val="009F1032"/>
    <w:rsid w:val="009F1281"/>
    <w:rsid w:val="009F13AA"/>
    <w:rsid w:val="009F19AE"/>
    <w:rsid w:val="009F1CA1"/>
    <w:rsid w:val="009F22E1"/>
    <w:rsid w:val="009F2369"/>
    <w:rsid w:val="009F23B7"/>
    <w:rsid w:val="009F25CB"/>
    <w:rsid w:val="009F2788"/>
    <w:rsid w:val="009F27FC"/>
    <w:rsid w:val="009F2E4A"/>
    <w:rsid w:val="009F2EB6"/>
    <w:rsid w:val="009F31E2"/>
    <w:rsid w:val="009F3601"/>
    <w:rsid w:val="009F3C03"/>
    <w:rsid w:val="009F3C45"/>
    <w:rsid w:val="009F4609"/>
    <w:rsid w:val="009F4978"/>
    <w:rsid w:val="009F4ADD"/>
    <w:rsid w:val="009F4EA7"/>
    <w:rsid w:val="009F4F6D"/>
    <w:rsid w:val="009F5108"/>
    <w:rsid w:val="009F52D0"/>
    <w:rsid w:val="009F52FE"/>
    <w:rsid w:val="009F568A"/>
    <w:rsid w:val="009F5927"/>
    <w:rsid w:val="009F5C79"/>
    <w:rsid w:val="009F5D82"/>
    <w:rsid w:val="009F608C"/>
    <w:rsid w:val="009F6571"/>
    <w:rsid w:val="009F6877"/>
    <w:rsid w:val="009F6B49"/>
    <w:rsid w:val="009F6F0E"/>
    <w:rsid w:val="009F7066"/>
    <w:rsid w:val="009F7208"/>
    <w:rsid w:val="009F721B"/>
    <w:rsid w:val="009F7267"/>
    <w:rsid w:val="009F7996"/>
    <w:rsid w:val="009F7C65"/>
    <w:rsid w:val="00A00290"/>
    <w:rsid w:val="00A002F7"/>
    <w:rsid w:val="00A00E2E"/>
    <w:rsid w:val="00A01119"/>
    <w:rsid w:val="00A01202"/>
    <w:rsid w:val="00A03373"/>
    <w:rsid w:val="00A0348C"/>
    <w:rsid w:val="00A035ED"/>
    <w:rsid w:val="00A036DB"/>
    <w:rsid w:val="00A044B6"/>
    <w:rsid w:val="00A04AC5"/>
    <w:rsid w:val="00A04B88"/>
    <w:rsid w:val="00A04CFC"/>
    <w:rsid w:val="00A04D2D"/>
    <w:rsid w:val="00A04D81"/>
    <w:rsid w:val="00A05384"/>
    <w:rsid w:val="00A058C1"/>
    <w:rsid w:val="00A05AE0"/>
    <w:rsid w:val="00A060E2"/>
    <w:rsid w:val="00A06216"/>
    <w:rsid w:val="00A066C7"/>
    <w:rsid w:val="00A068AD"/>
    <w:rsid w:val="00A068D3"/>
    <w:rsid w:val="00A06E3F"/>
    <w:rsid w:val="00A07504"/>
    <w:rsid w:val="00A07531"/>
    <w:rsid w:val="00A075FA"/>
    <w:rsid w:val="00A077BD"/>
    <w:rsid w:val="00A07858"/>
    <w:rsid w:val="00A079F3"/>
    <w:rsid w:val="00A106F4"/>
    <w:rsid w:val="00A10928"/>
    <w:rsid w:val="00A10BA7"/>
    <w:rsid w:val="00A10C57"/>
    <w:rsid w:val="00A1137B"/>
    <w:rsid w:val="00A11659"/>
    <w:rsid w:val="00A1199F"/>
    <w:rsid w:val="00A11D08"/>
    <w:rsid w:val="00A12110"/>
    <w:rsid w:val="00A12535"/>
    <w:rsid w:val="00A12C70"/>
    <w:rsid w:val="00A12E7C"/>
    <w:rsid w:val="00A12FB5"/>
    <w:rsid w:val="00A130E7"/>
    <w:rsid w:val="00A1355D"/>
    <w:rsid w:val="00A13566"/>
    <w:rsid w:val="00A13745"/>
    <w:rsid w:val="00A13788"/>
    <w:rsid w:val="00A138A2"/>
    <w:rsid w:val="00A13B9C"/>
    <w:rsid w:val="00A13D70"/>
    <w:rsid w:val="00A13F17"/>
    <w:rsid w:val="00A14026"/>
    <w:rsid w:val="00A14B00"/>
    <w:rsid w:val="00A14E7A"/>
    <w:rsid w:val="00A15457"/>
    <w:rsid w:val="00A154B3"/>
    <w:rsid w:val="00A15896"/>
    <w:rsid w:val="00A15C9F"/>
    <w:rsid w:val="00A15D6C"/>
    <w:rsid w:val="00A15EF3"/>
    <w:rsid w:val="00A15FA5"/>
    <w:rsid w:val="00A160D5"/>
    <w:rsid w:val="00A16210"/>
    <w:rsid w:val="00A16232"/>
    <w:rsid w:val="00A16AB0"/>
    <w:rsid w:val="00A16B8F"/>
    <w:rsid w:val="00A16BD3"/>
    <w:rsid w:val="00A16C4E"/>
    <w:rsid w:val="00A16D0D"/>
    <w:rsid w:val="00A16DBE"/>
    <w:rsid w:val="00A17044"/>
    <w:rsid w:val="00A1744C"/>
    <w:rsid w:val="00A176D2"/>
    <w:rsid w:val="00A177F1"/>
    <w:rsid w:val="00A1781D"/>
    <w:rsid w:val="00A17846"/>
    <w:rsid w:val="00A17A37"/>
    <w:rsid w:val="00A201B0"/>
    <w:rsid w:val="00A2024F"/>
    <w:rsid w:val="00A20663"/>
    <w:rsid w:val="00A209E0"/>
    <w:rsid w:val="00A20BF3"/>
    <w:rsid w:val="00A2171B"/>
    <w:rsid w:val="00A21795"/>
    <w:rsid w:val="00A217BA"/>
    <w:rsid w:val="00A219E4"/>
    <w:rsid w:val="00A21EA4"/>
    <w:rsid w:val="00A21EF6"/>
    <w:rsid w:val="00A22055"/>
    <w:rsid w:val="00A2294A"/>
    <w:rsid w:val="00A229B5"/>
    <w:rsid w:val="00A22E14"/>
    <w:rsid w:val="00A2303C"/>
    <w:rsid w:val="00A23250"/>
    <w:rsid w:val="00A235D6"/>
    <w:rsid w:val="00A23798"/>
    <w:rsid w:val="00A237EA"/>
    <w:rsid w:val="00A2380C"/>
    <w:rsid w:val="00A238DF"/>
    <w:rsid w:val="00A23F1F"/>
    <w:rsid w:val="00A2437C"/>
    <w:rsid w:val="00A24501"/>
    <w:rsid w:val="00A246C5"/>
    <w:rsid w:val="00A24BF4"/>
    <w:rsid w:val="00A24F36"/>
    <w:rsid w:val="00A25151"/>
    <w:rsid w:val="00A25192"/>
    <w:rsid w:val="00A252F8"/>
    <w:rsid w:val="00A25B3A"/>
    <w:rsid w:val="00A25B8A"/>
    <w:rsid w:val="00A2662F"/>
    <w:rsid w:val="00A268EB"/>
    <w:rsid w:val="00A26A5A"/>
    <w:rsid w:val="00A26E88"/>
    <w:rsid w:val="00A27015"/>
    <w:rsid w:val="00A27103"/>
    <w:rsid w:val="00A27230"/>
    <w:rsid w:val="00A27486"/>
    <w:rsid w:val="00A275CF"/>
    <w:rsid w:val="00A2796A"/>
    <w:rsid w:val="00A279B1"/>
    <w:rsid w:val="00A27C40"/>
    <w:rsid w:val="00A27DA2"/>
    <w:rsid w:val="00A305DB"/>
    <w:rsid w:val="00A3090E"/>
    <w:rsid w:val="00A30D1D"/>
    <w:rsid w:val="00A30E25"/>
    <w:rsid w:val="00A30E67"/>
    <w:rsid w:val="00A30F7C"/>
    <w:rsid w:val="00A30FCF"/>
    <w:rsid w:val="00A315D2"/>
    <w:rsid w:val="00A31737"/>
    <w:rsid w:val="00A3182E"/>
    <w:rsid w:val="00A3198B"/>
    <w:rsid w:val="00A319CD"/>
    <w:rsid w:val="00A31A7A"/>
    <w:rsid w:val="00A31C37"/>
    <w:rsid w:val="00A31CA1"/>
    <w:rsid w:val="00A31D8E"/>
    <w:rsid w:val="00A3203A"/>
    <w:rsid w:val="00A320E6"/>
    <w:rsid w:val="00A326A3"/>
    <w:rsid w:val="00A32AA8"/>
    <w:rsid w:val="00A32DBA"/>
    <w:rsid w:val="00A32EBE"/>
    <w:rsid w:val="00A33095"/>
    <w:rsid w:val="00A33112"/>
    <w:rsid w:val="00A33986"/>
    <w:rsid w:val="00A33C9F"/>
    <w:rsid w:val="00A33E54"/>
    <w:rsid w:val="00A33F5C"/>
    <w:rsid w:val="00A347C3"/>
    <w:rsid w:val="00A349A7"/>
    <w:rsid w:val="00A34AA6"/>
    <w:rsid w:val="00A35066"/>
    <w:rsid w:val="00A350ED"/>
    <w:rsid w:val="00A352D3"/>
    <w:rsid w:val="00A35A90"/>
    <w:rsid w:val="00A35EBE"/>
    <w:rsid w:val="00A36057"/>
    <w:rsid w:val="00A3605F"/>
    <w:rsid w:val="00A3632F"/>
    <w:rsid w:val="00A3660A"/>
    <w:rsid w:val="00A36871"/>
    <w:rsid w:val="00A36C43"/>
    <w:rsid w:val="00A36F4B"/>
    <w:rsid w:val="00A370DB"/>
    <w:rsid w:val="00A37397"/>
    <w:rsid w:val="00A37E5C"/>
    <w:rsid w:val="00A40318"/>
    <w:rsid w:val="00A408EF"/>
    <w:rsid w:val="00A40DED"/>
    <w:rsid w:val="00A413FE"/>
    <w:rsid w:val="00A41439"/>
    <w:rsid w:val="00A41858"/>
    <w:rsid w:val="00A41A75"/>
    <w:rsid w:val="00A41B93"/>
    <w:rsid w:val="00A41BDD"/>
    <w:rsid w:val="00A41D6D"/>
    <w:rsid w:val="00A41ECF"/>
    <w:rsid w:val="00A42174"/>
    <w:rsid w:val="00A4230B"/>
    <w:rsid w:val="00A4238D"/>
    <w:rsid w:val="00A423B7"/>
    <w:rsid w:val="00A4249D"/>
    <w:rsid w:val="00A424C6"/>
    <w:rsid w:val="00A425AB"/>
    <w:rsid w:val="00A426B0"/>
    <w:rsid w:val="00A428BD"/>
    <w:rsid w:val="00A42B61"/>
    <w:rsid w:val="00A42E70"/>
    <w:rsid w:val="00A43022"/>
    <w:rsid w:val="00A43297"/>
    <w:rsid w:val="00A43974"/>
    <w:rsid w:val="00A43AFF"/>
    <w:rsid w:val="00A43C7C"/>
    <w:rsid w:val="00A43F2C"/>
    <w:rsid w:val="00A440DA"/>
    <w:rsid w:val="00A44264"/>
    <w:rsid w:val="00A443B0"/>
    <w:rsid w:val="00A4456B"/>
    <w:rsid w:val="00A44A90"/>
    <w:rsid w:val="00A45015"/>
    <w:rsid w:val="00A4532E"/>
    <w:rsid w:val="00A454C1"/>
    <w:rsid w:val="00A45562"/>
    <w:rsid w:val="00A45CCC"/>
    <w:rsid w:val="00A45F61"/>
    <w:rsid w:val="00A463AF"/>
    <w:rsid w:val="00A46622"/>
    <w:rsid w:val="00A46907"/>
    <w:rsid w:val="00A46A87"/>
    <w:rsid w:val="00A46CCD"/>
    <w:rsid w:val="00A46DA4"/>
    <w:rsid w:val="00A46EA7"/>
    <w:rsid w:val="00A470FE"/>
    <w:rsid w:val="00A476D5"/>
    <w:rsid w:val="00A47710"/>
    <w:rsid w:val="00A477B8"/>
    <w:rsid w:val="00A477EF"/>
    <w:rsid w:val="00A47D54"/>
    <w:rsid w:val="00A47DCA"/>
    <w:rsid w:val="00A503F2"/>
    <w:rsid w:val="00A50646"/>
    <w:rsid w:val="00A50A24"/>
    <w:rsid w:val="00A50B0E"/>
    <w:rsid w:val="00A50C17"/>
    <w:rsid w:val="00A51434"/>
    <w:rsid w:val="00A51613"/>
    <w:rsid w:val="00A51776"/>
    <w:rsid w:val="00A518C5"/>
    <w:rsid w:val="00A51949"/>
    <w:rsid w:val="00A51B26"/>
    <w:rsid w:val="00A52424"/>
    <w:rsid w:val="00A5249A"/>
    <w:rsid w:val="00A52A1F"/>
    <w:rsid w:val="00A5339A"/>
    <w:rsid w:val="00A5361B"/>
    <w:rsid w:val="00A53868"/>
    <w:rsid w:val="00A53A86"/>
    <w:rsid w:val="00A541E9"/>
    <w:rsid w:val="00A543B5"/>
    <w:rsid w:val="00A549D5"/>
    <w:rsid w:val="00A54B70"/>
    <w:rsid w:val="00A54B78"/>
    <w:rsid w:val="00A55477"/>
    <w:rsid w:val="00A55DDE"/>
    <w:rsid w:val="00A55E14"/>
    <w:rsid w:val="00A55E50"/>
    <w:rsid w:val="00A564CC"/>
    <w:rsid w:val="00A567A9"/>
    <w:rsid w:val="00A56835"/>
    <w:rsid w:val="00A569DC"/>
    <w:rsid w:val="00A56B04"/>
    <w:rsid w:val="00A5717B"/>
    <w:rsid w:val="00A57251"/>
    <w:rsid w:val="00A57343"/>
    <w:rsid w:val="00A576D5"/>
    <w:rsid w:val="00A57B30"/>
    <w:rsid w:val="00A6075D"/>
    <w:rsid w:val="00A60921"/>
    <w:rsid w:val="00A6094C"/>
    <w:rsid w:val="00A60B72"/>
    <w:rsid w:val="00A610D6"/>
    <w:rsid w:val="00A61466"/>
    <w:rsid w:val="00A615CC"/>
    <w:rsid w:val="00A61634"/>
    <w:rsid w:val="00A61693"/>
    <w:rsid w:val="00A61D1A"/>
    <w:rsid w:val="00A626CD"/>
    <w:rsid w:val="00A62804"/>
    <w:rsid w:val="00A62C2F"/>
    <w:rsid w:val="00A63417"/>
    <w:rsid w:val="00A63C72"/>
    <w:rsid w:val="00A6426D"/>
    <w:rsid w:val="00A648B0"/>
    <w:rsid w:val="00A64FDE"/>
    <w:rsid w:val="00A652E6"/>
    <w:rsid w:val="00A65A34"/>
    <w:rsid w:val="00A65A74"/>
    <w:rsid w:val="00A65B67"/>
    <w:rsid w:val="00A65BC0"/>
    <w:rsid w:val="00A65CB0"/>
    <w:rsid w:val="00A66336"/>
    <w:rsid w:val="00A664C9"/>
    <w:rsid w:val="00A668A1"/>
    <w:rsid w:val="00A66D1A"/>
    <w:rsid w:val="00A66F10"/>
    <w:rsid w:val="00A67236"/>
    <w:rsid w:val="00A6773A"/>
    <w:rsid w:val="00A67F5A"/>
    <w:rsid w:val="00A70111"/>
    <w:rsid w:val="00A706C3"/>
    <w:rsid w:val="00A70727"/>
    <w:rsid w:val="00A70A90"/>
    <w:rsid w:val="00A70DE6"/>
    <w:rsid w:val="00A7126C"/>
    <w:rsid w:val="00A71414"/>
    <w:rsid w:val="00A71892"/>
    <w:rsid w:val="00A71FCE"/>
    <w:rsid w:val="00A72238"/>
    <w:rsid w:val="00A7275D"/>
    <w:rsid w:val="00A7296B"/>
    <w:rsid w:val="00A72B0C"/>
    <w:rsid w:val="00A72FC2"/>
    <w:rsid w:val="00A730B4"/>
    <w:rsid w:val="00A738CA"/>
    <w:rsid w:val="00A739F7"/>
    <w:rsid w:val="00A73E6E"/>
    <w:rsid w:val="00A74321"/>
    <w:rsid w:val="00A743A6"/>
    <w:rsid w:val="00A744D1"/>
    <w:rsid w:val="00A74657"/>
    <w:rsid w:val="00A74E44"/>
    <w:rsid w:val="00A74F50"/>
    <w:rsid w:val="00A74FBE"/>
    <w:rsid w:val="00A75367"/>
    <w:rsid w:val="00A7567E"/>
    <w:rsid w:val="00A758BB"/>
    <w:rsid w:val="00A758E9"/>
    <w:rsid w:val="00A75ED0"/>
    <w:rsid w:val="00A7653B"/>
    <w:rsid w:val="00A766E9"/>
    <w:rsid w:val="00A76A3C"/>
    <w:rsid w:val="00A76BA6"/>
    <w:rsid w:val="00A776DA"/>
    <w:rsid w:val="00A7773A"/>
    <w:rsid w:val="00A77B25"/>
    <w:rsid w:val="00A77DD4"/>
    <w:rsid w:val="00A77DDF"/>
    <w:rsid w:val="00A800BC"/>
    <w:rsid w:val="00A80300"/>
    <w:rsid w:val="00A806DA"/>
    <w:rsid w:val="00A80B5D"/>
    <w:rsid w:val="00A80DE9"/>
    <w:rsid w:val="00A81101"/>
    <w:rsid w:val="00A817BB"/>
    <w:rsid w:val="00A81CE2"/>
    <w:rsid w:val="00A81D7F"/>
    <w:rsid w:val="00A81F41"/>
    <w:rsid w:val="00A8207E"/>
    <w:rsid w:val="00A8249C"/>
    <w:rsid w:val="00A82620"/>
    <w:rsid w:val="00A826E0"/>
    <w:rsid w:val="00A827D5"/>
    <w:rsid w:val="00A82800"/>
    <w:rsid w:val="00A8286B"/>
    <w:rsid w:val="00A8299A"/>
    <w:rsid w:val="00A82C1A"/>
    <w:rsid w:val="00A82C52"/>
    <w:rsid w:val="00A82FCC"/>
    <w:rsid w:val="00A82FD0"/>
    <w:rsid w:val="00A830A7"/>
    <w:rsid w:val="00A833E2"/>
    <w:rsid w:val="00A84093"/>
    <w:rsid w:val="00A840F7"/>
    <w:rsid w:val="00A8425E"/>
    <w:rsid w:val="00A845B1"/>
    <w:rsid w:val="00A84792"/>
    <w:rsid w:val="00A84F4C"/>
    <w:rsid w:val="00A85E27"/>
    <w:rsid w:val="00A86071"/>
    <w:rsid w:val="00A86182"/>
    <w:rsid w:val="00A86C29"/>
    <w:rsid w:val="00A86DEC"/>
    <w:rsid w:val="00A8742F"/>
    <w:rsid w:val="00A87B40"/>
    <w:rsid w:val="00A87E49"/>
    <w:rsid w:val="00A90471"/>
    <w:rsid w:val="00A904D0"/>
    <w:rsid w:val="00A90A8B"/>
    <w:rsid w:val="00A90DF3"/>
    <w:rsid w:val="00A911AB"/>
    <w:rsid w:val="00A91708"/>
    <w:rsid w:val="00A9179D"/>
    <w:rsid w:val="00A91C3B"/>
    <w:rsid w:val="00A91F7C"/>
    <w:rsid w:val="00A927F7"/>
    <w:rsid w:val="00A928EA"/>
    <w:rsid w:val="00A935D4"/>
    <w:rsid w:val="00A93955"/>
    <w:rsid w:val="00A93A3A"/>
    <w:rsid w:val="00A93AED"/>
    <w:rsid w:val="00A944D6"/>
    <w:rsid w:val="00A9485A"/>
    <w:rsid w:val="00A94E38"/>
    <w:rsid w:val="00A950A5"/>
    <w:rsid w:val="00A95199"/>
    <w:rsid w:val="00A952FC"/>
    <w:rsid w:val="00A95389"/>
    <w:rsid w:val="00A959CA"/>
    <w:rsid w:val="00A95AE6"/>
    <w:rsid w:val="00A95F51"/>
    <w:rsid w:val="00A96296"/>
    <w:rsid w:val="00A964E6"/>
    <w:rsid w:val="00A96EAB"/>
    <w:rsid w:val="00A96F18"/>
    <w:rsid w:val="00A9707C"/>
    <w:rsid w:val="00A97159"/>
    <w:rsid w:val="00A97347"/>
    <w:rsid w:val="00A9747E"/>
    <w:rsid w:val="00A97D7C"/>
    <w:rsid w:val="00AA004F"/>
    <w:rsid w:val="00AA0281"/>
    <w:rsid w:val="00AA0497"/>
    <w:rsid w:val="00AA0AB4"/>
    <w:rsid w:val="00AA0AC3"/>
    <w:rsid w:val="00AA0B53"/>
    <w:rsid w:val="00AA0BAF"/>
    <w:rsid w:val="00AA126A"/>
    <w:rsid w:val="00AA169B"/>
    <w:rsid w:val="00AA173D"/>
    <w:rsid w:val="00AA19D3"/>
    <w:rsid w:val="00AA1BD0"/>
    <w:rsid w:val="00AA1DAC"/>
    <w:rsid w:val="00AA2583"/>
    <w:rsid w:val="00AA29BD"/>
    <w:rsid w:val="00AA2AC4"/>
    <w:rsid w:val="00AA2CFF"/>
    <w:rsid w:val="00AA2FDC"/>
    <w:rsid w:val="00AA30A2"/>
    <w:rsid w:val="00AA3179"/>
    <w:rsid w:val="00AA3296"/>
    <w:rsid w:val="00AA3E67"/>
    <w:rsid w:val="00AA425C"/>
    <w:rsid w:val="00AA49EC"/>
    <w:rsid w:val="00AA4F00"/>
    <w:rsid w:val="00AA5120"/>
    <w:rsid w:val="00AA5355"/>
    <w:rsid w:val="00AA5E2E"/>
    <w:rsid w:val="00AA6292"/>
    <w:rsid w:val="00AA6DF5"/>
    <w:rsid w:val="00AA7367"/>
    <w:rsid w:val="00AA7374"/>
    <w:rsid w:val="00AA762D"/>
    <w:rsid w:val="00AA7D3E"/>
    <w:rsid w:val="00AA7DAB"/>
    <w:rsid w:val="00AB03C1"/>
    <w:rsid w:val="00AB04CC"/>
    <w:rsid w:val="00AB0632"/>
    <w:rsid w:val="00AB079B"/>
    <w:rsid w:val="00AB1146"/>
    <w:rsid w:val="00AB13A1"/>
    <w:rsid w:val="00AB14A0"/>
    <w:rsid w:val="00AB1C34"/>
    <w:rsid w:val="00AB1F2E"/>
    <w:rsid w:val="00AB2108"/>
    <w:rsid w:val="00AB280E"/>
    <w:rsid w:val="00AB290D"/>
    <w:rsid w:val="00AB2993"/>
    <w:rsid w:val="00AB2C4E"/>
    <w:rsid w:val="00AB2CE8"/>
    <w:rsid w:val="00AB3025"/>
    <w:rsid w:val="00AB3168"/>
    <w:rsid w:val="00AB36FB"/>
    <w:rsid w:val="00AB3796"/>
    <w:rsid w:val="00AB3D6D"/>
    <w:rsid w:val="00AB3E41"/>
    <w:rsid w:val="00AB3E82"/>
    <w:rsid w:val="00AB3FA3"/>
    <w:rsid w:val="00AB4006"/>
    <w:rsid w:val="00AB4BD4"/>
    <w:rsid w:val="00AB4E55"/>
    <w:rsid w:val="00AB4ED7"/>
    <w:rsid w:val="00AB522E"/>
    <w:rsid w:val="00AB565C"/>
    <w:rsid w:val="00AB56F2"/>
    <w:rsid w:val="00AB65C6"/>
    <w:rsid w:val="00AB6727"/>
    <w:rsid w:val="00AB67EE"/>
    <w:rsid w:val="00AB6B04"/>
    <w:rsid w:val="00AB6BAB"/>
    <w:rsid w:val="00AB6D59"/>
    <w:rsid w:val="00AB6DD0"/>
    <w:rsid w:val="00AB71EB"/>
    <w:rsid w:val="00AB73AD"/>
    <w:rsid w:val="00AB7E3A"/>
    <w:rsid w:val="00AB7EEC"/>
    <w:rsid w:val="00AB7F5B"/>
    <w:rsid w:val="00AC00C0"/>
    <w:rsid w:val="00AC0430"/>
    <w:rsid w:val="00AC04DD"/>
    <w:rsid w:val="00AC0D3F"/>
    <w:rsid w:val="00AC1A23"/>
    <w:rsid w:val="00AC1B91"/>
    <w:rsid w:val="00AC1DE6"/>
    <w:rsid w:val="00AC205C"/>
    <w:rsid w:val="00AC21FD"/>
    <w:rsid w:val="00AC2205"/>
    <w:rsid w:val="00AC2BE0"/>
    <w:rsid w:val="00AC2E35"/>
    <w:rsid w:val="00AC33A7"/>
    <w:rsid w:val="00AC344E"/>
    <w:rsid w:val="00AC38B3"/>
    <w:rsid w:val="00AC3C13"/>
    <w:rsid w:val="00AC3CEC"/>
    <w:rsid w:val="00AC3E99"/>
    <w:rsid w:val="00AC40F3"/>
    <w:rsid w:val="00AC4263"/>
    <w:rsid w:val="00AC4276"/>
    <w:rsid w:val="00AC4684"/>
    <w:rsid w:val="00AC48FF"/>
    <w:rsid w:val="00AC4A80"/>
    <w:rsid w:val="00AC4A9D"/>
    <w:rsid w:val="00AC4C00"/>
    <w:rsid w:val="00AC4D2E"/>
    <w:rsid w:val="00AC4FED"/>
    <w:rsid w:val="00AC5F31"/>
    <w:rsid w:val="00AC6003"/>
    <w:rsid w:val="00AC6566"/>
    <w:rsid w:val="00AC68CF"/>
    <w:rsid w:val="00AC6932"/>
    <w:rsid w:val="00AC69A1"/>
    <w:rsid w:val="00AC6C67"/>
    <w:rsid w:val="00AC6CF8"/>
    <w:rsid w:val="00AC6DB6"/>
    <w:rsid w:val="00AC71A4"/>
    <w:rsid w:val="00AC7270"/>
    <w:rsid w:val="00AC75D1"/>
    <w:rsid w:val="00AC782F"/>
    <w:rsid w:val="00AC7A04"/>
    <w:rsid w:val="00AC7BC5"/>
    <w:rsid w:val="00AC7FA7"/>
    <w:rsid w:val="00AD04AE"/>
    <w:rsid w:val="00AD0781"/>
    <w:rsid w:val="00AD0B96"/>
    <w:rsid w:val="00AD0BF9"/>
    <w:rsid w:val="00AD0D25"/>
    <w:rsid w:val="00AD0DB7"/>
    <w:rsid w:val="00AD11AD"/>
    <w:rsid w:val="00AD134D"/>
    <w:rsid w:val="00AD1944"/>
    <w:rsid w:val="00AD1EA1"/>
    <w:rsid w:val="00AD1F1B"/>
    <w:rsid w:val="00AD2664"/>
    <w:rsid w:val="00AD26F7"/>
    <w:rsid w:val="00AD2AE2"/>
    <w:rsid w:val="00AD2EB0"/>
    <w:rsid w:val="00AD2F38"/>
    <w:rsid w:val="00AD2FAE"/>
    <w:rsid w:val="00AD32AE"/>
    <w:rsid w:val="00AD3527"/>
    <w:rsid w:val="00AD3831"/>
    <w:rsid w:val="00AD3A70"/>
    <w:rsid w:val="00AD3CDE"/>
    <w:rsid w:val="00AD3D67"/>
    <w:rsid w:val="00AD4291"/>
    <w:rsid w:val="00AD438E"/>
    <w:rsid w:val="00AD44F8"/>
    <w:rsid w:val="00AD453D"/>
    <w:rsid w:val="00AD485D"/>
    <w:rsid w:val="00AD4E09"/>
    <w:rsid w:val="00AD530A"/>
    <w:rsid w:val="00AD6384"/>
    <w:rsid w:val="00AD6DD4"/>
    <w:rsid w:val="00AD7152"/>
    <w:rsid w:val="00AD7195"/>
    <w:rsid w:val="00AD743B"/>
    <w:rsid w:val="00AD7549"/>
    <w:rsid w:val="00AD7AB4"/>
    <w:rsid w:val="00AD7FC6"/>
    <w:rsid w:val="00AD7FEC"/>
    <w:rsid w:val="00AE0147"/>
    <w:rsid w:val="00AE0179"/>
    <w:rsid w:val="00AE03B7"/>
    <w:rsid w:val="00AE03F9"/>
    <w:rsid w:val="00AE071B"/>
    <w:rsid w:val="00AE0E08"/>
    <w:rsid w:val="00AE0E30"/>
    <w:rsid w:val="00AE0EC8"/>
    <w:rsid w:val="00AE0FBC"/>
    <w:rsid w:val="00AE1648"/>
    <w:rsid w:val="00AE1780"/>
    <w:rsid w:val="00AE1B26"/>
    <w:rsid w:val="00AE2537"/>
    <w:rsid w:val="00AE2711"/>
    <w:rsid w:val="00AE2979"/>
    <w:rsid w:val="00AE2A49"/>
    <w:rsid w:val="00AE2B4D"/>
    <w:rsid w:val="00AE2E5E"/>
    <w:rsid w:val="00AE2E7A"/>
    <w:rsid w:val="00AE3275"/>
    <w:rsid w:val="00AE32EC"/>
    <w:rsid w:val="00AE3500"/>
    <w:rsid w:val="00AE356C"/>
    <w:rsid w:val="00AE35E7"/>
    <w:rsid w:val="00AE3C75"/>
    <w:rsid w:val="00AE3CC4"/>
    <w:rsid w:val="00AE4CA8"/>
    <w:rsid w:val="00AE53B8"/>
    <w:rsid w:val="00AE5650"/>
    <w:rsid w:val="00AE5C61"/>
    <w:rsid w:val="00AE5FE7"/>
    <w:rsid w:val="00AE60FD"/>
    <w:rsid w:val="00AE642B"/>
    <w:rsid w:val="00AE6470"/>
    <w:rsid w:val="00AE64D2"/>
    <w:rsid w:val="00AE6748"/>
    <w:rsid w:val="00AE6ADA"/>
    <w:rsid w:val="00AE6C19"/>
    <w:rsid w:val="00AE6D7A"/>
    <w:rsid w:val="00AE6E8C"/>
    <w:rsid w:val="00AE7106"/>
    <w:rsid w:val="00AE73E6"/>
    <w:rsid w:val="00AE73FD"/>
    <w:rsid w:val="00AE7473"/>
    <w:rsid w:val="00AE782F"/>
    <w:rsid w:val="00AE7912"/>
    <w:rsid w:val="00AE7F36"/>
    <w:rsid w:val="00AF0283"/>
    <w:rsid w:val="00AF02FA"/>
    <w:rsid w:val="00AF0616"/>
    <w:rsid w:val="00AF0B82"/>
    <w:rsid w:val="00AF13D7"/>
    <w:rsid w:val="00AF1C34"/>
    <w:rsid w:val="00AF1E42"/>
    <w:rsid w:val="00AF2465"/>
    <w:rsid w:val="00AF258D"/>
    <w:rsid w:val="00AF285E"/>
    <w:rsid w:val="00AF2A6A"/>
    <w:rsid w:val="00AF2A87"/>
    <w:rsid w:val="00AF2B9D"/>
    <w:rsid w:val="00AF2C40"/>
    <w:rsid w:val="00AF31D0"/>
    <w:rsid w:val="00AF3303"/>
    <w:rsid w:val="00AF33BC"/>
    <w:rsid w:val="00AF34B7"/>
    <w:rsid w:val="00AF359B"/>
    <w:rsid w:val="00AF39BA"/>
    <w:rsid w:val="00AF3C39"/>
    <w:rsid w:val="00AF3E01"/>
    <w:rsid w:val="00AF3FA9"/>
    <w:rsid w:val="00AF40C3"/>
    <w:rsid w:val="00AF44CE"/>
    <w:rsid w:val="00AF4C71"/>
    <w:rsid w:val="00AF4D8C"/>
    <w:rsid w:val="00AF542C"/>
    <w:rsid w:val="00AF56B3"/>
    <w:rsid w:val="00AF5794"/>
    <w:rsid w:val="00AF5D4C"/>
    <w:rsid w:val="00AF6168"/>
    <w:rsid w:val="00AF65B2"/>
    <w:rsid w:val="00AF6621"/>
    <w:rsid w:val="00AF6897"/>
    <w:rsid w:val="00AF6CE2"/>
    <w:rsid w:val="00AF6F03"/>
    <w:rsid w:val="00AF70A5"/>
    <w:rsid w:val="00AF7437"/>
    <w:rsid w:val="00AF74B5"/>
    <w:rsid w:val="00AF7748"/>
    <w:rsid w:val="00B00252"/>
    <w:rsid w:val="00B003BF"/>
    <w:rsid w:val="00B005F8"/>
    <w:rsid w:val="00B01090"/>
    <w:rsid w:val="00B01284"/>
    <w:rsid w:val="00B012FA"/>
    <w:rsid w:val="00B01534"/>
    <w:rsid w:val="00B01B32"/>
    <w:rsid w:val="00B01D4C"/>
    <w:rsid w:val="00B02252"/>
    <w:rsid w:val="00B02368"/>
    <w:rsid w:val="00B0252B"/>
    <w:rsid w:val="00B026B5"/>
    <w:rsid w:val="00B02EE6"/>
    <w:rsid w:val="00B02F08"/>
    <w:rsid w:val="00B02FF6"/>
    <w:rsid w:val="00B03047"/>
    <w:rsid w:val="00B030B0"/>
    <w:rsid w:val="00B035A5"/>
    <w:rsid w:val="00B03D7A"/>
    <w:rsid w:val="00B04277"/>
    <w:rsid w:val="00B0455C"/>
    <w:rsid w:val="00B04CB2"/>
    <w:rsid w:val="00B04D2D"/>
    <w:rsid w:val="00B04FFC"/>
    <w:rsid w:val="00B056FD"/>
    <w:rsid w:val="00B057A1"/>
    <w:rsid w:val="00B05970"/>
    <w:rsid w:val="00B05ACF"/>
    <w:rsid w:val="00B05DDB"/>
    <w:rsid w:val="00B05F60"/>
    <w:rsid w:val="00B06071"/>
    <w:rsid w:val="00B06808"/>
    <w:rsid w:val="00B06873"/>
    <w:rsid w:val="00B068DE"/>
    <w:rsid w:val="00B0697A"/>
    <w:rsid w:val="00B069C9"/>
    <w:rsid w:val="00B06CFC"/>
    <w:rsid w:val="00B0711C"/>
    <w:rsid w:val="00B072DD"/>
    <w:rsid w:val="00B077EC"/>
    <w:rsid w:val="00B07A62"/>
    <w:rsid w:val="00B07BBF"/>
    <w:rsid w:val="00B07C01"/>
    <w:rsid w:val="00B07C5B"/>
    <w:rsid w:val="00B07ED3"/>
    <w:rsid w:val="00B1073A"/>
    <w:rsid w:val="00B10F0B"/>
    <w:rsid w:val="00B111E8"/>
    <w:rsid w:val="00B1124A"/>
    <w:rsid w:val="00B1142C"/>
    <w:rsid w:val="00B117DB"/>
    <w:rsid w:val="00B1250E"/>
    <w:rsid w:val="00B129AA"/>
    <w:rsid w:val="00B12DA8"/>
    <w:rsid w:val="00B12E2C"/>
    <w:rsid w:val="00B13419"/>
    <w:rsid w:val="00B13618"/>
    <w:rsid w:val="00B140FD"/>
    <w:rsid w:val="00B14292"/>
    <w:rsid w:val="00B1443E"/>
    <w:rsid w:val="00B1452C"/>
    <w:rsid w:val="00B14785"/>
    <w:rsid w:val="00B14C55"/>
    <w:rsid w:val="00B14D15"/>
    <w:rsid w:val="00B14F87"/>
    <w:rsid w:val="00B15112"/>
    <w:rsid w:val="00B151CB"/>
    <w:rsid w:val="00B15207"/>
    <w:rsid w:val="00B15230"/>
    <w:rsid w:val="00B1539F"/>
    <w:rsid w:val="00B16163"/>
    <w:rsid w:val="00B1630F"/>
    <w:rsid w:val="00B164FA"/>
    <w:rsid w:val="00B16A8B"/>
    <w:rsid w:val="00B16AFB"/>
    <w:rsid w:val="00B17E05"/>
    <w:rsid w:val="00B2011F"/>
    <w:rsid w:val="00B204BA"/>
    <w:rsid w:val="00B2109E"/>
    <w:rsid w:val="00B2126F"/>
    <w:rsid w:val="00B21ADE"/>
    <w:rsid w:val="00B21B2E"/>
    <w:rsid w:val="00B2215C"/>
    <w:rsid w:val="00B222EE"/>
    <w:rsid w:val="00B22386"/>
    <w:rsid w:val="00B22402"/>
    <w:rsid w:val="00B224BC"/>
    <w:rsid w:val="00B2277D"/>
    <w:rsid w:val="00B234B3"/>
    <w:rsid w:val="00B23ACA"/>
    <w:rsid w:val="00B23CBA"/>
    <w:rsid w:val="00B24010"/>
    <w:rsid w:val="00B2402E"/>
    <w:rsid w:val="00B241CC"/>
    <w:rsid w:val="00B2475C"/>
    <w:rsid w:val="00B2492A"/>
    <w:rsid w:val="00B24BA1"/>
    <w:rsid w:val="00B25138"/>
    <w:rsid w:val="00B25288"/>
    <w:rsid w:val="00B25444"/>
    <w:rsid w:val="00B256CC"/>
    <w:rsid w:val="00B25A2A"/>
    <w:rsid w:val="00B25BB3"/>
    <w:rsid w:val="00B260C2"/>
    <w:rsid w:val="00B26735"/>
    <w:rsid w:val="00B267B1"/>
    <w:rsid w:val="00B26C1F"/>
    <w:rsid w:val="00B26DDE"/>
    <w:rsid w:val="00B26FFB"/>
    <w:rsid w:val="00B270E9"/>
    <w:rsid w:val="00B27D56"/>
    <w:rsid w:val="00B27DF2"/>
    <w:rsid w:val="00B30435"/>
    <w:rsid w:val="00B3055C"/>
    <w:rsid w:val="00B3087B"/>
    <w:rsid w:val="00B30AA3"/>
    <w:rsid w:val="00B30EC3"/>
    <w:rsid w:val="00B31391"/>
    <w:rsid w:val="00B3161D"/>
    <w:rsid w:val="00B31B90"/>
    <w:rsid w:val="00B31ED2"/>
    <w:rsid w:val="00B322A3"/>
    <w:rsid w:val="00B322F1"/>
    <w:rsid w:val="00B324A8"/>
    <w:rsid w:val="00B3264C"/>
    <w:rsid w:val="00B33170"/>
    <w:rsid w:val="00B3328E"/>
    <w:rsid w:val="00B3398C"/>
    <w:rsid w:val="00B33CF1"/>
    <w:rsid w:val="00B33DF1"/>
    <w:rsid w:val="00B33E7D"/>
    <w:rsid w:val="00B33FA4"/>
    <w:rsid w:val="00B3405E"/>
    <w:rsid w:val="00B344A0"/>
    <w:rsid w:val="00B3453F"/>
    <w:rsid w:val="00B346FE"/>
    <w:rsid w:val="00B34963"/>
    <w:rsid w:val="00B3557E"/>
    <w:rsid w:val="00B35656"/>
    <w:rsid w:val="00B357A4"/>
    <w:rsid w:val="00B35AC7"/>
    <w:rsid w:val="00B35C3D"/>
    <w:rsid w:val="00B35F01"/>
    <w:rsid w:val="00B362E9"/>
    <w:rsid w:val="00B364E4"/>
    <w:rsid w:val="00B36A41"/>
    <w:rsid w:val="00B36B08"/>
    <w:rsid w:val="00B37652"/>
    <w:rsid w:val="00B377D7"/>
    <w:rsid w:val="00B37957"/>
    <w:rsid w:val="00B37FCE"/>
    <w:rsid w:val="00B37FD1"/>
    <w:rsid w:val="00B40372"/>
    <w:rsid w:val="00B40738"/>
    <w:rsid w:val="00B4091C"/>
    <w:rsid w:val="00B4139F"/>
    <w:rsid w:val="00B4157C"/>
    <w:rsid w:val="00B41B5E"/>
    <w:rsid w:val="00B41E2F"/>
    <w:rsid w:val="00B421F4"/>
    <w:rsid w:val="00B42CA5"/>
    <w:rsid w:val="00B42CE6"/>
    <w:rsid w:val="00B42D55"/>
    <w:rsid w:val="00B42F74"/>
    <w:rsid w:val="00B431E4"/>
    <w:rsid w:val="00B43934"/>
    <w:rsid w:val="00B43C5B"/>
    <w:rsid w:val="00B43D9F"/>
    <w:rsid w:val="00B4422A"/>
    <w:rsid w:val="00B4445B"/>
    <w:rsid w:val="00B447D7"/>
    <w:rsid w:val="00B449C0"/>
    <w:rsid w:val="00B44E7D"/>
    <w:rsid w:val="00B45180"/>
    <w:rsid w:val="00B45345"/>
    <w:rsid w:val="00B453D4"/>
    <w:rsid w:val="00B45B59"/>
    <w:rsid w:val="00B45D8C"/>
    <w:rsid w:val="00B45EE6"/>
    <w:rsid w:val="00B464AF"/>
    <w:rsid w:val="00B46564"/>
    <w:rsid w:val="00B468E2"/>
    <w:rsid w:val="00B470D6"/>
    <w:rsid w:val="00B471D8"/>
    <w:rsid w:val="00B47C1F"/>
    <w:rsid w:val="00B47D1E"/>
    <w:rsid w:val="00B47F42"/>
    <w:rsid w:val="00B500E0"/>
    <w:rsid w:val="00B501B6"/>
    <w:rsid w:val="00B505FF"/>
    <w:rsid w:val="00B50970"/>
    <w:rsid w:val="00B50E30"/>
    <w:rsid w:val="00B50FF7"/>
    <w:rsid w:val="00B51028"/>
    <w:rsid w:val="00B51334"/>
    <w:rsid w:val="00B5147C"/>
    <w:rsid w:val="00B516F0"/>
    <w:rsid w:val="00B5175A"/>
    <w:rsid w:val="00B5183D"/>
    <w:rsid w:val="00B51DE9"/>
    <w:rsid w:val="00B5246C"/>
    <w:rsid w:val="00B529CF"/>
    <w:rsid w:val="00B5412A"/>
    <w:rsid w:val="00B5427A"/>
    <w:rsid w:val="00B54786"/>
    <w:rsid w:val="00B5482E"/>
    <w:rsid w:val="00B54D33"/>
    <w:rsid w:val="00B55302"/>
    <w:rsid w:val="00B553D2"/>
    <w:rsid w:val="00B555FA"/>
    <w:rsid w:val="00B5584B"/>
    <w:rsid w:val="00B559F4"/>
    <w:rsid w:val="00B55DF1"/>
    <w:rsid w:val="00B55E79"/>
    <w:rsid w:val="00B55FC0"/>
    <w:rsid w:val="00B56177"/>
    <w:rsid w:val="00B56192"/>
    <w:rsid w:val="00B56291"/>
    <w:rsid w:val="00B564CD"/>
    <w:rsid w:val="00B5663B"/>
    <w:rsid w:val="00B567AB"/>
    <w:rsid w:val="00B56B28"/>
    <w:rsid w:val="00B57297"/>
    <w:rsid w:val="00B573BA"/>
    <w:rsid w:val="00B57A14"/>
    <w:rsid w:val="00B57AE3"/>
    <w:rsid w:val="00B57C48"/>
    <w:rsid w:val="00B57D14"/>
    <w:rsid w:val="00B606A7"/>
    <w:rsid w:val="00B615FB"/>
    <w:rsid w:val="00B6161E"/>
    <w:rsid w:val="00B616F9"/>
    <w:rsid w:val="00B61857"/>
    <w:rsid w:val="00B61982"/>
    <w:rsid w:val="00B61DEC"/>
    <w:rsid w:val="00B61E3C"/>
    <w:rsid w:val="00B61F85"/>
    <w:rsid w:val="00B62930"/>
    <w:rsid w:val="00B62BD5"/>
    <w:rsid w:val="00B62CB2"/>
    <w:rsid w:val="00B62E75"/>
    <w:rsid w:val="00B630A6"/>
    <w:rsid w:val="00B6328E"/>
    <w:rsid w:val="00B63351"/>
    <w:rsid w:val="00B633D2"/>
    <w:rsid w:val="00B6389B"/>
    <w:rsid w:val="00B63A5D"/>
    <w:rsid w:val="00B63C72"/>
    <w:rsid w:val="00B63D52"/>
    <w:rsid w:val="00B63F7E"/>
    <w:rsid w:val="00B640FC"/>
    <w:rsid w:val="00B64D17"/>
    <w:rsid w:val="00B65034"/>
    <w:rsid w:val="00B650F5"/>
    <w:rsid w:val="00B652BD"/>
    <w:rsid w:val="00B6564E"/>
    <w:rsid w:val="00B65865"/>
    <w:rsid w:val="00B659DC"/>
    <w:rsid w:val="00B659E8"/>
    <w:rsid w:val="00B65BDE"/>
    <w:rsid w:val="00B65D53"/>
    <w:rsid w:val="00B65F03"/>
    <w:rsid w:val="00B65FE7"/>
    <w:rsid w:val="00B65FF3"/>
    <w:rsid w:val="00B66150"/>
    <w:rsid w:val="00B66413"/>
    <w:rsid w:val="00B66450"/>
    <w:rsid w:val="00B66599"/>
    <w:rsid w:val="00B66817"/>
    <w:rsid w:val="00B66961"/>
    <w:rsid w:val="00B66A19"/>
    <w:rsid w:val="00B66F26"/>
    <w:rsid w:val="00B67051"/>
    <w:rsid w:val="00B67096"/>
    <w:rsid w:val="00B6711A"/>
    <w:rsid w:val="00B671C1"/>
    <w:rsid w:val="00B672EC"/>
    <w:rsid w:val="00B6730F"/>
    <w:rsid w:val="00B677F5"/>
    <w:rsid w:val="00B6786A"/>
    <w:rsid w:val="00B701C5"/>
    <w:rsid w:val="00B7037C"/>
    <w:rsid w:val="00B72052"/>
    <w:rsid w:val="00B7228B"/>
    <w:rsid w:val="00B7233E"/>
    <w:rsid w:val="00B725D8"/>
    <w:rsid w:val="00B7290D"/>
    <w:rsid w:val="00B729A1"/>
    <w:rsid w:val="00B73291"/>
    <w:rsid w:val="00B73368"/>
    <w:rsid w:val="00B73434"/>
    <w:rsid w:val="00B73B84"/>
    <w:rsid w:val="00B73EE8"/>
    <w:rsid w:val="00B74653"/>
    <w:rsid w:val="00B749D8"/>
    <w:rsid w:val="00B749E5"/>
    <w:rsid w:val="00B74C2A"/>
    <w:rsid w:val="00B74CB6"/>
    <w:rsid w:val="00B75130"/>
    <w:rsid w:val="00B75408"/>
    <w:rsid w:val="00B7543B"/>
    <w:rsid w:val="00B754AF"/>
    <w:rsid w:val="00B7550C"/>
    <w:rsid w:val="00B760CA"/>
    <w:rsid w:val="00B766C3"/>
    <w:rsid w:val="00B76C2A"/>
    <w:rsid w:val="00B76D9D"/>
    <w:rsid w:val="00B774CF"/>
    <w:rsid w:val="00B7794A"/>
    <w:rsid w:val="00B77ADE"/>
    <w:rsid w:val="00B77B34"/>
    <w:rsid w:val="00B77BDD"/>
    <w:rsid w:val="00B77DE3"/>
    <w:rsid w:val="00B80053"/>
    <w:rsid w:val="00B80230"/>
    <w:rsid w:val="00B80243"/>
    <w:rsid w:val="00B80FB5"/>
    <w:rsid w:val="00B811D0"/>
    <w:rsid w:val="00B81A14"/>
    <w:rsid w:val="00B81AC5"/>
    <w:rsid w:val="00B81E4A"/>
    <w:rsid w:val="00B81F87"/>
    <w:rsid w:val="00B82148"/>
    <w:rsid w:val="00B821CC"/>
    <w:rsid w:val="00B82511"/>
    <w:rsid w:val="00B8258B"/>
    <w:rsid w:val="00B834CB"/>
    <w:rsid w:val="00B83785"/>
    <w:rsid w:val="00B838F7"/>
    <w:rsid w:val="00B83CBE"/>
    <w:rsid w:val="00B83D1E"/>
    <w:rsid w:val="00B83F58"/>
    <w:rsid w:val="00B8426D"/>
    <w:rsid w:val="00B84436"/>
    <w:rsid w:val="00B8446C"/>
    <w:rsid w:val="00B844BC"/>
    <w:rsid w:val="00B845C2"/>
    <w:rsid w:val="00B846C5"/>
    <w:rsid w:val="00B84820"/>
    <w:rsid w:val="00B8483B"/>
    <w:rsid w:val="00B84EC1"/>
    <w:rsid w:val="00B84FFE"/>
    <w:rsid w:val="00B8504F"/>
    <w:rsid w:val="00B85641"/>
    <w:rsid w:val="00B8591F"/>
    <w:rsid w:val="00B8598E"/>
    <w:rsid w:val="00B85BC9"/>
    <w:rsid w:val="00B86031"/>
    <w:rsid w:val="00B869A0"/>
    <w:rsid w:val="00B87256"/>
    <w:rsid w:val="00B8725D"/>
    <w:rsid w:val="00B873BD"/>
    <w:rsid w:val="00B875F6"/>
    <w:rsid w:val="00B87A8E"/>
    <w:rsid w:val="00B87AB3"/>
    <w:rsid w:val="00B87FCD"/>
    <w:rsid w:val="00B87FE6"/>
    <w:rsid w:val="00B904AE"/>
    <w:rsid w:val="00B90C35"/>
    <w:rsid w:val="00B90FE2"/>
    <w:rsid w:val="00B9146E"/>
    <w:rsid w:val="00B91518"/>
    <w:rsid w:val="00B9174D"/>
    <w:rsid w:val="00B91847"/>
    <w:rsid w:val="00B91ADF"/>
    <w:rsid w:val="00B91BB6"/>
    <w:rsid w:val="00B91E5F"/>
    <w:rsid w:val="00B92892"/>
    <w:rsid w:val="00B92FC2"/>
    <w:rsid w:val="00B9331D"/>
    <w:rsid w:val="00B93474"/>
    <w:rsid w:val="00B937E1"/>
    <w:rsid w:val="00B940D1"/>
    <w:rsid w:val="00B9426F"/>
    <w:rsid w:val="00B942A3"/>
    <w:rsid w:val="00B9464D"/>
    <w:rsid w:val="00B949CD"/>
    <w:rsid w:val="00B94A8B"/>
    <w:rsid w:val="00B94BDF"/>
    <w:rsid w:val="00B9537D"/>
    <w:rsid w:val="00B95855"/>
    <w:rsid w:val="00B95857"/>
    <w:rsid w:val="00B95DAC"/>
    <w:rsid w:val="00B96458"/>
    <w:rsid w:val="00B96750"/>
    <w:rsid w:val="00B96756"/>
    <w:rsid w:val="00B96E30"/>
    <w:rsid w:val="00B979C3"/>
    <w:rsid w:val="00B97DCC"/>
    <w:rsid w:val="00B97FDE"/>
    <w:rsid w:val="00BA0796"/>
    <w:rsid w:val="00BA0DE8"/>
    <w:rsid w:val="00BA1F60"/>
    <w:rsid w:val="00BA229C"/>
    <w:rsid w:val="00BA264F"/>
    <w:rsid w:val="00BA26D3"/>
    <w:rsid w:val="00BA31C3"/>
    <w:rsid w:val="00BA3206"/>
    <w:rsid w:val="00BA366F"/>
    <w:rsid w:val="00BA3C40"/>
    <w:rsid w:val="00BA3D20"/>
    <w:rsid w:val="00BA3D44"/>
    <w:rsid w:val="00BA3FD4"/>
    <w:rsid w:val="00BA5131"/>
    <w:rsid w:val="00BA5398"/>
    <w:rsid w:val="00BA59FF"/>
    <w:rsid w:val="00BA5A29"/>
    <w:rsid w:val="00BA5B98"/>
    <w:rsid w:val="00BA5D47"/>
    <w:rsid w:val="00BA5E82"/>
    <w:rsid w:val="00BA5EAE"/>
    <w:rsid w:val="00BA688C"/>
    <w:rsid w:val="00BA69B6"/>
    <w:rsid w:val="00BA6DD2"/>
    <w:rsid w:val="00BA79A1"/>
    <w:rsid w:val="00BA7CD4"/>
    <w:rsid w:val="00BB0299"/>
    <w:rsid w:val="00BB09A3"/>
    <w:rsid w:val="00BB0B1A"/>
    <w:rsid w:val="00BB1024"/>
    <w:rsid w:val="00BB136D"/>
    <w:rsid w:val="00BB1D8B"/>
    <w:rsid w:val="00BB1ED3"/>
    <w:rsid w:val="00BB2140"/>
    <w:rsid w:val="00BB256C"/>
    <w:rsid w:val="00BB2CA6"/>
    <w:rsid w:val="00BB306F"/>
    <w:rsid w:val="00BB3382"/>
    <w:rsid w:val="00BB371D"/>
    <w:rsid w:val="00BB382A"/>
    <w:rsid w:val="00BB38D0"/>
    <w:rsid w:val="00BB392D"/>
    <w:rsid w:val="00BB3A81"/>
    <w:rsid w:val="00BB4631"/>
    <w:rsid w:val="00BB4980"/>
    <w:rsid w:val="00BB4B1A"/>
    <w:rsid w:val="00BB54B6"/>
    <w:rsid w:val="00BB55CB"/>
    <w:rsid w:val="00BB56B4"/>
    <w:rsid w:val="00BB57D2"/>
    <w:rsid w:val="00BB591D"/>
    <w:rsid w:val="00BB592A"/>
    <w:rsid w:val="00BB59AA"/>
    <w:rsid w:val="00BB59D8"/>
    <w:rsid w:val="00BB5F4A"/>
    <w:rsid w:val="00BB60A9"/>
    <w:rsid w:val="00BB6140"/>
    <w:rsid w:val="00BB616F"/>
    <w:rsid w:val="00BB6425"/>
    <w:rsid w:val="00BB6A5B"/>
    <w:rsid w:val="00BB6E07"/>
    <w:rsid w:val="00BB749B"/>
    <w:rsid w:val="00BB74D3"/>
    <w:rsid w:val="00BB7625"/>
    <w:rsid w:val="00BB7DD1"/>
    <w:rsid w:val="00BB7E8B"/>
    <w:rsid w:val="00BB7EAE"/>
    <w:rsid w:val="00BC0A54"/>
    <w:rsid w:val="00BC0DA0"/>
    <w:rsid w:val="00BC0FBE"/>
    <w:rsid w:val="00BC10F3"/>
    <w:rsid w:val="00BC116E"/>
    <w:rsid w:val="00BC126F"/>
    <w:rsid w:val="00BC2040"/>
    <w:rsid w:val="00BC2182"/>
    <w:rsid w:val="00BC21C1"/>
    <w:rsid w:val="00BC2C3C"/>
    <w:rsid w:val="00BC2E61"/>
    <w:rsid w:val="00BC35AE"/>
    <w:rsid w:val="00BC3748"/>
    <w:rsid w:val="00BC3D56"/>
    <w:rsid w:val="00BC3D84"/>
    <w:rsid w:val="00BC41C2"/>
    <w:rsid w:val="00BC429C"/>
    <w:rsid w:val="00BC4771"/>
    <w:rsid w:val="00BC47A3"/>
    <w:rsid w:val="00BC48C2"/>
    <w:rsid w:val="00BC5078"/>
    <w:rsid w:val="00BC50FE"/>
    <w:rsid w:val="00BC58A5"/>
    <w:rsid w:val="00BC5945"/>
    <w:rsid w:val="00BC5DA1"/>
    <w:rsid w:val="00BC5DB8"/>
    <w:rsid w:val="00BC5E23"/>
    <w:rsid w:val="00BC5E24"/>
    <w:rsid w:val="00BC5F98"/>
    <w:rsid w:val="00BC6675"/>
    <w:rsid w:val="00BC6BD9"/>
    <w:rsid w:val="00BC6D7C"/>
    <w:rsid w:val="00BC6FBC"/>
    <w:rsid w:val="00BC7536"/>
    <w:rsid w:val="00BC78DB"/>
    <w:rsid w:val="00BC7A70"/>
    <w:rsid w:val="00BD006D"/>
    <w:rsid w:val="00BD03AD"/>
    <w:rsid w:val="00BD06B5"/>
    <w:rsid w:val="00BD0833"/>
    <w:rsid w:val="00BD0B98"/>
    <w:rsid w:val="00BD150B"/>
    <w:rsid w:val="00BD1793"/>
    <w:rsid w:val="00BD19F2"/>
    <w:rsid w:val="00BD1D7C"/>
    <w:rsid w:val="00BD2256"/>
    <w:rsid w:val="00BD22BA"/>
    <w:rsid w:val="00BD232E"/>
    <w:rsid w:val="00BD2A19"/>
    <w:rsid w:val="00BD2A62"/>
    <w:rsid w:val="00BD2FCF"/>
    <w:rsid w:val="00BD383C"/>
    <w:rsid w:val="00BD3DC8"/>
    <w:rsid w:val="00BD3DE2"/>
    <w:rsid w:val="00BD43D2"/>
    <w:rsid w:val="00BD49DB"/>
    <w:rsid w:val="00BD49DF"/>
    <w:rsid w:val="00BD4A44"/>
    <w:rsid w:val="00BD5459"/>
    <w:rsid w:val="00BD57A7"/>
    <w:rsid w:val="00BD5812"/>
    <w:rsid w:val="00BD5939"/>
    <w:rsid w:val="00BD6357"/>
    <w:rsid w:val="00BD665B"/>
    <w:rsid w:val="00BD6AA3"/>
    <w:rsid w:val="00BD6EC9"/>
    <w:rsid w:val="00BD7479"/>
    <w:rsid w:val="00BD7BFD"/>
    <w:rsid w:val="00BE019E"/>
    <w:rsid w:val="00BE0258"/>
    <w:rsid w:val="00BE0272"/>
    <w:rsid w:val="00BE03FB"/>
    <w:rsid w:val="00BE079F"/>
    <w:rsid w:val="00BE0D67"/>
    <w:rsid w:val="00BE0D71"/>
    <w:rsid w:val="00BE108B"/>
    <w:rsid w:val="00BE124D"/>
    <w:rsid w:val="00BE184C"/>
    <w:rsid w:val="00BE1878"/>
    <w:rsid w:val="00BE19EA"/>
    <w:rsid w:val="00BE1C7C"/>
    <w:rsid w:val="00BE1E81"/>
    <w:rsid w:val="00BE21C1"/>
    <w:rsid w:val="00BE223C"/>
    <w:rsid w:val="00BE227F"/>
    <w:rsid w:val="00BE22FC"/>
    <w:rsid w:val="00BE2389"/>
    <w:rsid w:val="00BE2E43"/>
    <w:rsid w:val="00BE30DC"/>
    <w:rsid w:val="00BE3252"/>
    <w:rsid w:val="00BE3275"/>
    <w:rsid w:val="00BE3554"/>
    <w:rsid w:val="00BE3879"/>
    <w:rsid w:val="00BE38EB"/>
    <w:rsid w:val="00BE3908"/>
    <w:rsid w:val="00BE3990"/>
    <w:rsid w:val="00BE3F0C"/>
    <w:rsid w:val="00BE402C"/>
    <w:rsid w:val="00BE40EA"/>
    <w:rsid w:val="00BE437E"/>
    <w:rsid w:val="00BE43A6"/>
    <w:rsid w:val="00BE4477"/>
    <w:rsid w:val="00BE46C5"/>
    <w:rsid w:val="00BE4AB3"/>
    <w:rsid w:val="00BE4BDE"/>
    <w:rsid w:val="00BE4D2A"/>
    <w:rsid w:val="00BE51FD"/>
    <w:rsid w:val="00BE5958"/>
    <w:rsid w:val="00BE5C03"/>
    <w:rsid w:val="00BE5DBD"/>
    <w:rsid w:val="00BE6243"/>
    <w:rsid w:val="00BE6457"/>
    <w:rsid w:val="00BE6C32"/>
    <w:rsid w:val="00BE6D43"/>
    <w:rsid w:val="00BE6F54"/>
    <w:rsid w:val="00BE6FF4"/>
    <w:rsid w:val="00BE70F1"/>
    <w:rsid w:val="00BE7648"/>
    <w:rsid w:val="00BE77A3"/>
    <w:rsid w:val="00BE791F"/>
    <w:rsid w:val="00BE7B84"/>
    <w:rsid w:val="00BE7F82"/>
    <w:rsid w:val="00BF072F"/>
    <w:rsid w:val="00BF0BB7"/>
    <w:rsid w:val="00BF0DD1"/>
    <w:rsid w:val="00BF0F6E"/>
    <w:rsid w:val="00BF0F84"/>
    <w:rsid w:val="00BF125A"/>
    <w:rsid w:val="00BF183F"/>
    <w:rsid w:val="00BF2A17"/>
    <w:rsid w:val="00BF2DE3"/>
    <w:rsid w:val="00BF2EA1"/>
    <w:rsid w:val="00BF2FBA"/>
    <w:rsid w:val="00BF3155"/>
    <w:rsid w:val="00BF3270"/>
    <w:rsid w:val="00BF395F"/>
    <w:rsid w:val="00BF4256"/>
    <w:rsid w:val="00BF42FA"/>
    <w:rsid w:val="00BF495E"/>
    <w:rsid w:val="00BF4A7D"/>
    <w:rsid w:val="00BF4AC1"/>
    <w:rsid w:val="00BF4E7B"/>
    <w:rsid w:val="00BF52B4"/>
    <w:rsid w:val="00BF5D96"/>
    <w:rsid w:val="00BF663E"/>
    <w:rsid w:val="00BF6869"/>
    <w:rsid w:val="00BF707C"/>
    <w:rsid w:val="00BF7807"/>
    <w:rsid w:val="00BF78B7"/>
    <w:rsid w:val="00BF7D40"/>
    <w:rsid w:val="00BF7E3A"/>
    <w:rsid w:val="00C004B3"/>
    <w:rsid w:val="00C005DA"/>
    <w:rsid w:val="00C0062A"/>
    <w:rsid w:val="00C00BD1"/>
    <w:rsid w:val="00C01802"/>
    <w:rsid w:val="00C01DCB"/>
    <w:rsid w:val="00C01E65"/>
    <w:rsid w:val="00C0231E"/>
    <w:rsid w:val="00C024E9"/>
    <w:rsid w:val="00C0250B"/>
    <w:rsid w:val="00C028E5"/>
    <w:rsid w:val="00C02DFF"/>
    <w:rsid w:val="00C03132"/>
    <w:rsid w:val="00C033E1"/>
    <w:rsid w:val="00C036EE"/>
    <w:rsid w:val="00C0375B"/>
    <w:rsid w:val="00C03943"/>
    <w:rsid w:val="00C03A43"/>
    <w:rsid w:val="00C03C49"/>
    <w:rsid w:val="00C040DF"/>
    <w:rsid w:val="00C04184"/>
    <w:rsid w:val="00C04541"/>
    <w:rsid w:val="00C0472B"/>
    <w:rsid w:val="00C04742"/>
    <w:rsid w:val="00C04BA3"/>
    <w:rsid w:val="00C04EAE"/>
    <w:rsid w:val="00C04F33"/>
    <w:rsid w:val="00C052C0"/>
    <w:rsid w:val="00C05402"/>
    <w:rsid w:val="00C05516"/>
    <w:rsid w:val="00C056E7"/>
    <w:rsid w:val="00C06011"/>
    <w:rsid w:val="00C0698C"/>
    <w:rsid w:val="00C06C04"/>
    <w:rsid w:val="00C070CF"/>
    <w:rsid w:val="00C072C1"/>
    <w:rsid w:val="00C0755F"/>
    <w:rsid w:val="00C07930"/>
    <w:rsid w:val="00C07DC9"/>
    <w:rsid w:val="00C10247"/>
    <w:rsid w:val="00C102EC"/>
    <w:rsid w:val="00C106A4"/>
    <w:rsid w:val="00C1075E"/>
    <w:rsid w:val="00C118AE"/>
    <w:rsid w:val="00C11BCD"/>
    <w:rsid w:val="00C1295B"/>
    <w:rsid w:val="00C12CA0"/>
    <w:rsid w:val="00C12E87"/>
    <w:rsid w:val="00C13790"/>
    <w:rsid w:val="00C13B68"/>
    <w:rsid w:val="00C13D9A"/>
    <w:rsid w:val="00C14430"/>
    <w:rsid w:val="00C1467D"/>
    <w:rsid w:val="00C150BB"/>
    <w:rsid w:val="00C150DF"/>
    <w:rsid w:val="00C159F8"/>
    <w:rsid w:val="00C15DD0"/>
    <w:rsid w:val="00C15F88"/>
    <w:rsid w:val="00C160F8"/>
    <w:rsid w:val="00C1632B"/>
    <w:rsid w:val="00C1666B"/>
    <w:rsid w:val="00C16717"/>
    <w:rsid w:val="00C16C34"/>
    <w:rsid w:val="00C16D9F"/>
    <w:rsid w:val="00C1749B"/>
    <w:rsid w:val="00C176C4"/>
    <w:rsid w:val="00C1775B"/>
    <w:rsid w:val="00C179A4"/>
    <w:rsid w:val="00C17A0D"/>
    <w:rsid w:val="00C17C0D"/>
    <w:rsid w:val="00C2031D"/>
    <w:rsid w:val="00C20648"/>
    <w:rsid w:val="00C20BC1"/>
    <w:rsid w:val="00C20C9C"/>
    <w:rsid w:val="00C211FA"/>
    <w:rsid w:val="00C21669"/>
    <w:rsid w:val="00C21958"/>
    <w:rsid w:val="00C21AAB"/>
    <w:rsid w:val="00C21B60"/>
    <w:rsid w:val="00C21D25"/>
    <w:rsid w:val="00C21DC4"/>
    <w:rsid w:val="00C21E73"/>
    <w:rsid w:val="00C2224E"/>
    <w:rsid w:val="00C228C9"/>
    <w:rsid w:val="00C22AFC"/>
    <w:rsid w:val="00C22FD1"/>
    <w:rsid w:val="00C2317A"/>
    <w:rsid w:val="00C2367D"/>
    <w:rsid w:val="00C23997"/>
    <w:rsid w:val="00C23B02"/>
    <w:rsid w:val="00C23BB1"/>
    <w:rsid w:val="00C23F1A"/>
    <w:rsid w:val="00C23F51"/>
    <w:rsid w:val="00C23FF1"/>
    <w:rsid w:val="00C24097"/>
    <w:rsid w:val="00C249EC"/>
    <w:rsid w:val="00C24F22"/>
    <w:rsid w:val="00C25091"/>
    <w:rsid w:val="00C25141"/>
    <w:rsid w:val="00C2546D"/>
    <w:rsid w:val="00C25598"/>
    <w:rsid w:val="00C25D23"/>
    <w:rsid w:val="00C25E9E"/>
    <w:rsid w:val="00C25FD1"/>
    <w:rsid w:val="00C26DC2"/>
    <w:rsid w:val="00C2706C"/>
    <w:rsid w:val="00C276D7"/>
    <w:rsid w:val="00C27827"/>
    <w:rsid w:val="00C27875"/>
    <w:rsid w:val="00C27D84"/>
    <w:rsid w:val="00C3005F"/>
    <w:rsid w:val="00C30927"/>
    <w:rsid w:val="00C30CB3"/>
    <w:rsid w:val="00C30F55"/>
    <w:rsid w:val="00C3148A"/>
    <w:rsid w:val="00C314F9"/>
    <w:rsid w:val="00C31E62"/>
    <w:rsid w:val="00C32009"/>
    <w:rsid w:val="00C32325"/>
    <w:rsid w:val="00C32350"/>
    <w:rsid w:val="00C329FE"/>
    <w:rsid w:val="00C32DA3"/>
    <w:rsid w:val="00C3378B"/>
    <w:rsid w:val="00C33E3F"/>
    <w:rsid w:val="00C34111"/>
    <w:rsid w:val="00C34570"/>
    <w:rsid w:val="00C34929"/>
    <w:rsid w:val="00C34B14"/>
    <w:rsid w:val="00C34B61"/>
    <w:rsid w:val="00C34BA8"/>
    <w:rsid w:val="00C34E0B"/>
    <w:rsid w:val="00C34F0A"/>
    <w:rsid w:val="00C35A0D"/>
    <w:rsid w:val="00C35ECC"/>
    <w:rsid w:val="00C3669A"/>
    <w:rsid w:val="00C36766"/>
    <w:rsid w:val="00C36879"/>
    <w:rsid w:val="00C3696E"/>
    <w:rsid w:val="00C369F5"/>
    <w:rsid w:val="00C36FC2"/>
    <w:rsid w:val="00C370E9"/>
    <w:rsid w:val="00C37407"/>
    <w:rsid w:val="00C376F4"/>
    <w:rsid w:val="00C37D0E"/>
    <w:rsid w:val="00C4006D"/>
    <w:rsid w:val="00C40143"/>
    <w:rsid w:val="00C403BB"/>
    <w:rsid w:val="00C40580"/>
    <w:rsid w:val="00C40971"/>
    <w:rsid w:val="00C40C08"/>
    <w:rsid w:val="00C40CD1"/>
    <w:rsid w:val="00C4145E"/>
    <w:rsid w:val="00C4159D"/>
    <w:rsid w:val="00C41B9D"/>
    <w:rsid w:val="00C41FF3"/>
    <w:rsid w:val="00C4205B"/>
    <w:rsid w:val="00C422A7"/>
    <w:rsid w:val="00C426AB"/>
    <w:rsid w:val="00C428E3"/>
    <w:rsid w:val="00C42A49"/>
    <w:rsid w:val="00C42A4A"/>
    <w:rsid w:val="00C42F90"/>
    <w:rsid w:val="00C4394F"/>
    <w:rsid w:val="00C43AC0"/>
    <w:rsid w:val="00C442EB"/>
    <w:rsid w:val="00C44947"/>
    <w:rsid w:val="00C44BC0"/>
    <w:rsid w:val="00C44DA7"/>
    <w:rsid w:val="00C4524C"/>
    <w:rsid w:val="00C454C6"/>
    <w:rsid w:val="00C45CA1"/>
    <w:rsid w:val="00C45E5C"/>
    <w:rsid w:val="00C45F87"/>
    <w:rsid w:val="00C45F88"/>
    <w:rsid w:val="00C46CA0"/>
    <w:rsid w:val="00C46FAC"/>
    <w:rsid w:val="00C47103"/>
    <w:rsid w:val="00C4713F"/>
    <w:rsid w:val="00C47E90"/>
    <w:rsid w:val="00C500A4"/>
    <w:rsid w:val="00C50298"/>
    <w:rsid w:val="00C509EE"/>
    <w:rsid w:val="00C50B88"/>
    <w:rsid w:val="00C50BC2"/>
    <w:rsid w:val="00C50D07"/>
    <w:rsid w:val="00C50DF6"/>
    <w:rsid w:val="00C50E34"/>
    <w:rsid w:val="00C50EC1"/>
    <w:rsid w:val="00C510F2"/>
    <w:rsid w:val="00C514FB"/>
    <w:rsid w:val="00C5167A"/>
    <w:rsid w:val="00C516FB"/>
    <w:rsid w:val="00C51B06"/>
    <w:rsid w:val="00C51F0B"/>
    <w:rsid w:val="00C526C0"/>
    <w:rsid w:val="00C529C8"/>
    <w:rsid w:val="00C52B7B"/>
    <w:rsid w:val="00C530C8"/>
    <w:rsid w:val="00C5320E"/>
    <w:rsid w:val="00C534AB"/>
    <w:rsid w:val="00C53702"/>
    <w:rsid w:val="00C539BE"/>
    <w:rsid w:val="00C53BC0"/>
    <w:rsid w:val="00C53C6D"/>
    <w:rsid w:val="00C53CB7"/>
    <w:rsid w:val="00C5407B"/>
    <w:rsid w:val="00C54546"/>
    <w:rsid w:val="00C5470F"/>
    <w:rsid w:val="00C54713"/>
    <w:rsid w:val="00C54883"/>
    <w:rsid w:val="00C54FD0"/>
    <w:rsid w:val="00C55439"/>
    <w:rsid w:val="00C55A67"/>
    <w:rsid w:val="00C5620A"/>
    <w:rsid w:val="00C56693"/>
    <w:rsid w:val="00C5676F"/>
    <w:rsid w:val="00C56849"/>
    <w:rsid w:val="00C569C7"/>
    <w:rsid w:val="00C56B71"/>
    <w:rsid w:val="00C56D04"/>
    <w:rsid w:val="00C56D81"/>
    <w:rsid w:val="00C56EB1"/>
    <w:rsid w:val="00C56F7A"/>
    <w:rsid w:val="00C572BF"/>
    <w:rsid w:val="00C572C9"/>
    <w:rsid w:val="00C5741B"/>
    <w:rsid w:val="00C574E3"/>
    <w:rsid w:val="00C578EA"/>
    <w:rsid w:val="00C57A17"/>
    <w:rsid w:val="00C57CBE"/>
    <w:rsid w:val="00C57D7F"/>
    <w:rsid w:val="00C60047"/>
    <w:rsid w:val="00C60181"/>
    <w:rsid w:val="00C60388"/>
    <w:rsid w:val="00C6079F"/>
    <w:rsid w:val="00C60809"/>
    <w:rsid w:val="00C608F4"/>
    <w:rsid w:val="00C60DD5"/>
    <w:rsid w:val="00C60EAF"/>
    <w:rsid w:val="00C6134B"/>
    <w:rsid w:val="00C61545"/>
    <w:rsid w:val="00C61931"/>
    <w:rsid w:val="00C61AF9"/>
    <w:rsid w:val="00C61C30"/>
    <w:rsid w:val="00C61C7D"/>
    <w:rsid w:val="00C61CB9"/>
    <w:rsid w:val="00C61D29"/>
    <w:rsid w:val="00C62016"/>
    <w:rsid w:val="00C622B9"/>
    <w:rsid w:val="00C623DF"/>
    <w:rsid w:val="00C6272C"/>
    <w:rsid w:val="00C62856"/>
    <w:rsid w:val="00C62A4F"/>
    <w:rsid w:val="00C62FBE"/>
    <w:rsid w:val="00C63616"/>
    <w:rsid w:val="00C637EF"/>
    <w:rsid w:val="00C6419D"/>
    <w:rsid w:val="00C6451E"/>
    <w:rsid w:val="00C645FF"/>
    <w:rsid w:val="00C649D8"/>
    <w:rsid w:val="00C64A46"/>
    <w:rsid w:val="00C650A9"/>
    <w:rsid w:val="00C6510B"/>
    <w:rsid w:val="00C6521F"/>
    <w:rsid w:val="00C6527F"/>
    <w:rsid w:val="00C65424"/>
    <w:rsid w:val="00C654CB"/>
    <w:rsid w:val="00C65562"/>
    <w:rsid w:val="00C65692"/>
    <w:rsid w:val="00C65738"/>
    <w:rsid w:val="00C658BA"/>
    <w:rsid w:val="00C65AB9"/>
    <w:rsid w:val="00C65C50"/>
    <w:rsid w:val="00C65D0A"/>
    <w:rsid w:val="00C65FC4"/>
    <w:rsid w:val="00C66424"/>
    <w:rsid w:val="00C66623"/>
    <w:rsid w:val="00C66B99"/>
    <w:rsid w:val="00C67405"/>
    <w:rsid w:val="00C674DD"/>
    <w:rsid w:val="00C677B6"/>
    <w:rsid w:val="00C67B7B"/>
    <w:rsid w:val="00C701D0"/>
    <w:rsid w:val="00C7051E"/>
    <w:rsid w:val="00C706F8"/>
    <w:rsid w:val="00C70725"/>
    <w:rsid w:val="00C70BA1"/>
    <w:rsid w:val="00C70C6B"/>
    <w:rsid w:val="00C70C7A"/>
    <w:rsid w:val="00C70F3B"/>
    <w:rsid w:val="00C70FE1"/>
    <w:rsid w:val="00C715BA"/>
    <w:rsid w:val="00C71804"/>
    <w:rsid w:val="00C71B87"/>
    <w:rsid w:val="00C71C28"/>
    <w:rsid w:val="00C721CF"/>
    <w:rsid w:val="00C7221F"/>
    <w:rsid w:val="00C72299"/>
    <w:rsid w:val="00C72530"/>
    <w:rsid w:val="00C72E84"/>
    <w:rsid w:val="00C73815"/>
    <w:rsid w:val="00C73A4D"/>
    <w:rsid w:val="00C73EF7"/>
    <w:rsid w:val="00C74303"/>
    <w:rsid w:val="00C744E0"/>
    <w:rsid w:val="00C745A8"/>
    <w:rsid w:val="00C74852"/>
    <w:rsid w:val="00C748FC"/>
    <w:rsid w:val="00C74B58"/>
    <w:rsid w:val="00C74F2B"/>
    <w:rsid w:val="00C7520D"/>
    <w:rsid w:val="00C7552B"/>
    <w:rsid w:val="00C75763"/>
    <w:rsid w:val="00C75A47"/>
    <w:rsid w:val="00C75FCD"/>
    <w:rsid w:val="00C76032"/>
    <w:rsid w:val="00C760E5"/>
    <w:rsid w:val="00C76444"/>
    <w:rsid w:val="00C76473"/>
    <w:rsid w:val="00C76702"/>
    <w:rsid w:val="00C76CE2"/>
    <w:rsid w:val="00C76E7D"/>
    <w:rsid w:val="00C77752"/>
    <w:rsid w:val="00C7779D"/>
    <w:rsid w:val="00C779C3"/>
    <w:rsid w:val="00C800B7"/>
    <w:rsid w:val="00C8031E"/>
    <w:rsid w:val="00C8158C"/>
    <w:rsid w:val="00C81825"/>
    <w:rsid w:val="00C8189B"/>
    <w:rsid w:val="00C81C02"/>
    <w:rsid w:val="00C822A5"/>
    <w:rsid w:val="00C82787"/>
    <w:rsid w:val="00C829F9"/>
    <w:rsid w:val="00C82E7F"/>
    <w:rsid w:val="00C83167"/>
    <w:rsid w:val="00C836A6"/>
    <w:rsid w:val="00C838F3"/>
    <w:rsid w:val="00C83A70"/>
    <w:rsid w:val="00C83AA4"/>
    <w:rsid w:val="00C83DD2"/>
    <w:rsid w:val="00C83DDD"/>
    <w:rsid w:val="00C8412C"/>
    <w:rsid w:val="00C8426B"/>
    <w:rsid w:val="00C843EF"/>
    <w:rsid w:val="00C84784"/>
    <w:rsid w:val="00C847B9"/>
    <w:rsid w:val="00C854D2"/>
    <w:rsid w:val="00C85A07"/>
    <w:rsid w:val="00C85A60"/>
    <w:rsid w:val="00C85B0C"/>
    <w:rsid w:val="00C85B5C"/>
    <w:rsid w:val="00C85BD7"/>
    <w:rsid w:val="00C86191"/>
    <w:rsid w:val="00C861B5"/>
    <w:rsid w:val="00C861C1"/>
    <w:rsid w:val="00C86340"/>
    <w:rsid w:val="00C864AA"/>
    <w:rsid w:val="00C8675B"/>
    <w:rsid w:val="00C868C7"/>
    <w:rsid w:val="00C86B70"/>
    <w:rsid w:val="00C86E92"/>
    <w:rsid w:val="00C87499"/>
    <w:rsid w:val="00C878AA"/>
    <w:rsid w:val="00C87949"/>
    <w:rsid w:val="00C87ACB"/>
    <w:rsid w:val="00C87AED"/>
    <w:rsid w:val="00C90B27"/>
    <w:rsid w:val="00C90E72"/>
    <w:rsid w:val="00C911C8"/>
    <w:rsid w:val="00C91416"/>
    <w:rsid w:val="00C9145E"/>
    <w:rsid w:val="00C92D06"/>
    <w:rsid w:val="00C931BA"/>
    <w:rsid w:val="00C9371D"/>
    <w:rsid w:val="00C937BE"/>
    <w:rsid w:val="00C93848"/>
    <w:rsid w:val="00C93867"/>
    <w:rsid w:val="00C93ACD"/>
    <w:rsid w:val="00C93ACF"/>
    <w:rsid w:val="00C93CF0"/>
    <w:rsid w:val="00C93F29"/>
    <w:rsid w:val="00C945D7"/>
    <w:rsid w:val="00C945FF"/>
    <w:rsid w:val="00C948CE"/>
    <w:rsid w:val="00C94D79"/>
    <w:rsid w:val="00C94DF5"/>
    <w:rsid w:val="00C95BEC"/>
    <w:rsid w:val="00C95EF1"/>
    <w:rsid w:val="00C960F7"/>
    <w:rsid w:val="00C961E2"/>
    <w:rsid w:val="00C96D5F"/>
    <w:rsid w:val="00C96DA3"/>
    <w:rsid w:val="00C96FE6"/>
    <w:rsid w:val="00C9702F"/>
    <w:rsid w:val="00C974EF"/>
    <w:rsid w:val="00C975FB"/>
    <w:rsid w:val="00C97C8D"/>
    <w:rsid w:val="00C97CD9"/>
    <w:rsid w:val="00CA014A"/>
    <w:rsid w:val="00CA0462"/>
    <w:rsid w:val="00CA0493"/>
    <w:rsid w:val="00CA071B"/>
    <w:rsid w:val="00CA07D1"/>
    <w:rsid w:val="00CA0B70"/>
    <w:rsid w:val="00CA0EAA"/>
    <w:rsid w:val="00CA0FD2"/>
    <w:rsid w:val="00CA1259"/>
    <w:rsid w:val="00CA15A2"/>
    <w:rsid w:val="00CA1945"/>
    <w:rsid w:val="00CA19E2"/>
    <w:rsid w:val="00CA1A9A"/>
    <w:rsid w:val="00CA1C21"/>
    <w:rsid w:val="00CA2268"/>
    <w:rsid w:val="00CA232A"/>
    <w:rsid w:val="00CA23BD"/>
    <w:rsid w:val="00CA276B"/>
    <w:rsid w:val="00CA2931"/>
    <w:rsid w:val="00CA315B"/>
    <w:rsid w:val="00CA3197"/>
    <w:rsid w:val="00CA31E9"/>
    <w:rsid w:val="00CA34F8"/>
    <w:rsid w:val="00CA43C8"/>
    <w:rsid w:val="00CA485F"/>
    <w:rsid w:val="00CA4B68"/>
    <w:rsid w:val="00CA4C44"/>
    <w:rsid w:val="00CA550B"/>
    <w:rsid w:val="00CA5546"/>
    <w:rsid w:val="00CA558D"/>
    <w:rsid w:val="00CA594E"/>
    <w:rsid w:val="00CA5AAC"/>
    <w:rsid w:val="00CA5B56"/>
    <w:rsid w:val="00CA5C00"/>
    <w:rsid w:val="00CA6051"/>
    <w:rsid w:val="00CA6527"/>
    <w:rsid w:val="00CA6558"/>
    <w:rsid w:val="00CA6B9C"/>
    <w:rsid w:val="00CA6FC9"/>
    <w:rsid w:val="00CA7510"/>
    <w:rsid w:val="00CA752B"/>
    <w:rsid w:val="00CA7B09"/>
    <w:rsid w:val="00CA7CCF"/>
    <w:rsid w:val="00CB0048"/>
    <w:rsid w:val="00CB0423"/>
    <w:rsid w:val="00CB093B"/>
    <w:rsid w:val="00CB0BCC"/>
    <w:rsid w:val="00CB17F0"/>
    <w:rsid w:val="00CB18AB"/>
    <w:rsid w:val="00CB18F2"/>
    <w:rsid w:val="00CB1F4E"/>
    <w:rsid w:val="00CB23AC"/>
    <w:rsid w:val="00CB286E"/>
    <w:rsid w:val="00CB29C5"/>
    <w:rsid w:val="00CB331E"/>
    <w:rsid w:val="00CB3455"/>
    <w:rsid w:val="00CB365E"/>
    <w:rsid w:val="00CB38D2"/>
    <w:rsid w:val="00CB3C71"/>
    <w:rsid w:val="00CB3D40"/>
    <w:rsid w:val="00CB4324"/>
    <w:rsid w:val="00CB44D0"/>
    <w:rsid w:val="00CB4A37"/>
    <w:rsid w:val="00CB4AE0"/>
    <w:rsid w:val="00CB4DD1"/>
    <w:rsid w:val="00CB4FA2"/>
    <w:rsid w:val="00CB5549"/>
    <w:rsid w:val="00CB59D6"/>
    <w:rsid w:val="00CB5AA3"/>
    <w:rsid w:val="00CB60F7"/>
    <w:rsid w:val="00CB61E5"/>
    <w:rsid w:val="00CB631A"/>
    <w:rsid w:val="00CB6335"/>
    <w:rsid w:val="00CB6395"/>
    <w:rsid w:val="00CB6549"/>
    <w:rsid w:val="00CB675A"/>
    <w:rsid w:val="00CB67C1"/>
    <w:rsid w:val="00CB68AC"/>
    <w:rsid w:val="00CB696A"/>
    <w:rsid w:val="00CB6B6C"/>
    <w:rsid w:val="00CB6C87"/>
    <w:rsid w:val="00CB6CFF"/>
    <w:rsid w:val="00CB6FB9"/>
    <w:rsid w:val="00CB7816"/>
    <w:rsid w:val="00CB7C70"/>
    <w:rsid w:val="00CB7E3C"/>
    <w:rsid w:val="00CB7FC7"/>
    <w:rsid w:val="00CC01E8"/>
    <w:rsid w:val="00CC0408"/>
    <w:rsid w:val="00CC04C1"/>
    <w:rsid w:val="00CC0634"/>
    <w:rsid w:val="00CC0665"/>
    <w:rsid w:val="00CC11AF"/>
    <w:rsid w:val="00CC161B"/>
    <w:rsid w:val="00CC186A"/>
    <w:rsid w:val="00CC1C6B"/>
    <w:rsid w:val="00CC1DC4"/>
    <w:rsid w:val="00CC2704"/>
    <w:rsid w:val="00CC2897"/>
    <w:rsid w:val="00CC28B7"/>
    <w:rsid w:val="00CC28D6"/>
    <w:rsid w:val="00CC2CD7"/>
    <w:rsid w:val="00CC3178"/>
    <w:rsid w:val="00CC355A"/>
    <w:rsid w:val="00CC362B"/>
    <w:rsid w:val="00CC39CC"/>
    <w:rsid w:val="00CC3B4E"/>
    <w:rsid w:val="00CC3D67"/>
    <w:rsid w:val="00CC3E68"/>
    <w:rsid w:val="00CC40C4"/>
    <w:rsid w:val="00CC42E0"/>
    <w:rsid w:val="00CC48BE"/>
    <w:rsid w:val="00CC498C"/>
    <w:rsid w:val="00CC4E14"/>
    <w:rsid w:val="00CC4F0B"/>
    <w:rsid w:val="00CC53A6"/>
    <w:rsid w:val="00CC587F"/>
    <w:rsid w:val="00CC5980"/>
    <w:rsid w:val="00CC5BDE"/>
    <w:rsid w:val="00CC5C30"/>
    <w:rsid w:val="00CC627B"/>
    <w:rsid w:val="00CC632E"/>
    <w:rsid w:val="00CC64A1"/>
    <w:rsid w:val="00CC6955"/>
    <w:rsid w:val="00CC6AE4"/>
    <w:rsid w:val="00CC6BFB"/>
    <w:rsid w:val="00CC6F22"/>
    <w:rsid w:val="00CC7666"/>
    <w:rsid w:val="00CC7947"/>
    <w:rsid w:val="00CC7B1A"/>
    <w:rsid w:val="00CC7C82"/>
    <w:rsid w:val="00CC7CDA"/>
    <w:rsid w:val="00CD0365"/>
    <w:rsid w:val="00CD03C7"/>
    <w:rsid w:val="00CD05E1"/>
    <w:rsid w:val="00CD0724"/>
    <w:rsid w:val="00CD09AC"/>
    <w:rsid w:val="00CD0B1B"/>
    <w:rsid w:val="00CD0DB6"/>
    <w:rsid w:val="00CD1394"/>
    <w:rsid w:val="00CD1C6E"/>
    <w:rsid w:val="00CD1CBD"/>
    <w:rsid w:val="00CD1CE2"/>
    <w:rsid w:val="00CD2106"/>
    <w:rsid w:val="00CD2AC5"/>
    <w:rsid w:val="00CD2D44"/>
    <w:rsid w:val="00CD2DC7"/>
    <w:rsid w:val="00CD2E3B"/>
    <w:rsid w:val="00CD2E9D"/>
    <w:rsid w:val="00CD32F8"/>
    <w:rsid w:val="00CD35E0"/>
    <w:rsid w:val="00CD3740"/>
    <w:rsid w:val="00CD3A82"/>
    <w:rsid w:val="00CD42D8"/>
    <w:rsid w:val="00CD43A2"/>
    <w:rsid w:val="00CD4476"/>
    <w:rsid w:val="00CD4B55"/>
    <w:rsid w:val="00CD5026"/>
    <w:rsid w:val="00CD5488"/>
    <w:rsid w:val="00CD5534"/>
    <w:rsid w:val="00CD5651"/>
    <w:rsid w:val="00CD5764"/>
    <w:rsid w:val="00CD57DB"/>
    <w:rsid w:val="00CD5AD8"/>
    <w:rsid w:val="00CD5B75"/>
    <w:rsid w:val="00CD5EA9"/>
    <w:rsid w:val="00CD5FF4"/>
    <w:rsid w:val="00CD604B"/>
    <w:rsid w:val="00CD616B"/>
    <w:rsid w:val="00CD6984"/>
    <w:rsid w:val="00CD6BDA"/>
    <w:rsid w:val="00CD6DD1"/>
    <w:rsid w:val="00CD6F98"/>
    <w:rsid w:val="00CD7D29"/>
    <w:rsid w:val="00CD7EAA"/>
    <w:rsid w:val="00CE009E"/>
    <w:rsid w:val="00CE0A87"/>
    <w:rsid w:val="00CE0B12"/>
    <w:rsid w:val="00CE0C87"/>
    <w:rsid w:val="00CE0E7B"/>
    <w:rsid w:val="00CE1694"/>
    <w:rsid w:val="00CE1FAD"/>
    <w:rsid w:val="00CE2071"/>
    <w:rsid w:val="00CE2120"/>
    <w:rsid w:val="00CE2817"/>
    <w:rsid w:val="00CE2866"/>
    <w:rsid w:val="00CE2DBE"/>
    <w:rsid w:val="00CE3451"/>
    <w:rsid w:val="00CE3774"/>
    <w:rsid w:val="00CE3BA9"/>
    <w:rsid w:val="00CE3CEA"/>
    <w:rsid w:val="00CE3EC4"/>
    <w:rsid w:val="00CE4365"/>
    <w:rsid w:val="00CE4500"/>
    <w:rsid w:val="00CE451F"/>
    <w:rsid w:val="00CE4528"/>
    <w:rsid w:val="00CE454A"/>
    <w:rsid w:val="00CE45DA"/>
    <w:rsid w:val="00CE473F"/>
    <w:rsid w:val="00CE4752"/>
    <w:rsid w:val="00CE5013"/>
    <w:rsid w:val="00CE50A5"/>
    <w:rsid w:val="00CE50C6"/>
    <w:rsid w:val="00CE5DB8"/>
    <w:rsid w:val="00CE6323"/>
    <w:rsid w:val="00CE6669"/>
    <w:rsid w:val="00CE6692"/>
    <w:rsid w:val="00CE6935"/>
    <w:rsid w:val="00CE6C1F"/>
    <w:rsid w:val="00CE6C41"/>
    <w:rsid w:val="00CE6CA4"/>
    <w:rsid w:val="00CE6D4E"/>
    <w:rsid w:val="00CE72F2"/>
    <w:rsid w:val="00CE745B"/>
    <w:rsid w:val="00CE79C9"/>
    <w:rsid w:val="00CE7A7A"/>
    <w:rsid w:val="00CE7B70"/>
    <w:rsid w:val="00CE7D2C"/>
    <w:rsid w:val="00CF034B"/>
    <w:rsid w:val="00CF03F1"/>
    <w:rsid w:val="00CF079C"/>
    <w:rsid w:val="00CF07B5"/>
    <w:rsid w:val="00CF0CC9"/>
    <w:rsid w:val="00CF0DBE"/>
    <w:rsid w:val="00CF0F70"/>
    <w:rsid w:val="00CF1C85"/>
    <w:rsid w:val="00CF2076"/>
    <w:rsid w:val="00CF20FF"/>
    <w:rsid w:val="00CF23E2"/>
    <w:rsid w:val="00CF24E3"/>
    <w:rsid w:val="00CF2D48"/>
    <w:rsid w:val="00CF3404"/>
    <w:rsid w:val="00CF374F"/>
    <w:rsid w:val="00CF3BD2"/>
    <w:rsid w:val="00CF3D43"/>
    <w:rsid w:val="00CF3D8B"/>
    <w:rsid w:val="00CF3FF2"/>
    <w:rsid w:val="00CF4018"/>
    <w:rsid w:val="00CF422F"/>
    <w:rsid w:val="00CF43D3"/>
    <w:rsid w:val="00CF4496"/>
    <w:rsid w:val="00CF464C"/>
    <w:rsid w:val="00CF4BCF"/>
    <w:rsid w:val="00CF510B"/>
    <w:rsid w:val="00CF55FC"/>
    <w:rsid w:val="00CF5797"/>
    <w:rsid w:val="00CF595E"/>
    <w:rsid w:val="00CF5A52"/>
    <w:rsid w:val="00CF6139"/>
    <w:rsid w:val="00CF65B6"/>
    <w:rsid w:val="00CF6C4E"/>
    <w:rsid w:val="00CF6F79"/>
    <w:rsid w:val="00CF706B"/>
    <w:rsid w:val="00CF70F3"/>
    <w:rsid w:val="00CF71DD"/>
    <w:rsid w:val="00CF7435"/>
    <w:rsid w:val="00CF768A"/>
    <w:rsid w:val="00CF7C64"/>
    <w:rsid w:val="00D002C4"/>
    <w:rsid w:val="00D00852"/>
    <w:rsid w:val="00D00903"/>
    <w:rsid w:val="00D012F2"/>
    <w:rsid w:val="00D01586"/>
    <w:rsid w:val="00D01911"/>
    <w:rsid w:val="00D0207B"/>
    <w:rsid w:val="00D02349"/>
    <w:rsid w:val="00D023AB"/>
    <w:rsid w:val="00D0249F"/>
    <w:rsid w:val="00D02B3B"/>
    <w:rsid w:val="00D02B86"/>
    <w:rsid w:val="00D02E12"/>
    <w:rsid w:val="00D03253"/>
    <w:rsid w:val="00D033C9"/>
    <w:rsid w:val="00D035ED"/>
    <w:rsid w:val="00D03744"/>
    <w:rsid w:val="00D03900"/>
    <w:rsid w:val="00D03939"/>
    <w:rsid w:val="00D03AB2"/>
    <w:rsid w:val="00D03DB1"/>
    <w:rsid w:val="00D04195"/>
    <w:rsid w:val="00D043FF"/>
    <w:rsid w:val="00D04A02"/>
    <w:rsid w:val="00D04B8A"/>
    <w:rsid w:val="00D04F09"/>
    <w:rsid w:val="00D04F4F"/>
    <w:rsid w:val="00D0513B"/>
    <w:rsid w:val="00D0557E"/>
    <w:rsid w:val="00D055ED"/>
    <w:rsid w:val="00D0575C"/>
    <w:rsid w:val="00D05834"/>
    <w:rsid w:val="00D05B77"/>
    <w:rsid w:val="00D05FD8"/>
    <w:rsid w:val="00D060D9"/>
    <w:rsid w:val="00D061B1"/>
    <w:rsid w:val="00D062C7"/>
    <w:rsid w:val="00D0642C"/>
    <w:rsid w:val="00D0652B"/>
    <w:rsid w:val="00D06667"/>
    <w:rsid w:val="00D06FC4"/>
    <w:rsid w:val="00D07149"/>
    <w:rsid w:val="00D071B1"/>
    <w:rsid w:val="00D07725"/>
    <w:rsid w:val="00D07A91"/>
    <w:rsid w:val="00D07B6D"/>
    <w:rsid w:val="00D07E84"/>
    <w:rsid w:val="00D10344"/>
    <w:rsid w:val="00D10D21"/>
    <w:rsid w:val="00D111EB"/>
    <w:rsid w:val="00D11355"/>
    <w:rsid w:val="00D114DC"/>
    <w:rsid w:val="00D11A38"/>
    <w:rsid w:val="00D11A71"/>
    <w:rsid w:val="00D12089"/>
    <w:rsid w:val="00D1235D"/>
    <w:rsid w:val="00D12533"/>
    <w:rsid w:val="00D13BEC"/>
    <w:rsid w:val="00D13ECC"/>
    <w:rsid w:val="00D1405D"/>
    <w:rsid w:val="00D1448A"/>
    <w:rsid w:val="00D14622"/>
    <w:rsid w:val="00D14A59"/>
    <w:rsid w:val="00D14FCC"/>
    <w:rsid w:val="00D15000"/>
    <w:rsid w:val="00D1560F"/>
    <w:rsid w:val="00D158F3"/>
    <w:rsid w:val="00D159AD"/>
    <w:rsid w:val="00D15F8B"/>
    <w:rsid w:val="00D161A1"/>
    <w:rsid w:val="00D16525"/>
    <w:rsid w:val="00D16D9D"/>
    <w:rsid w:val="00D16E70"/>
    <w:rsid w:val="00D16FAC"/>
    <w:rsid w:val="00D171B7"/>
    <w:rsid w:val="00D1747A"/>
    <w:rsid w:val="00D175C6"/>
    <w:rsid w:val="00D1770F"/>
    <w:rsid w:val="00D178B7"/>
    <w:rsid w:val="00D17D39"/>
    <w:rsid w:val="00D17E55"/>
    <w:rsid w:val="00D205FD"/>
    <w:rsid w:val="00D206A7"/>
    <w:rsid w:val="00D207A3"/>
    <w:rsid w:val="00D208AA"/>
    <w:rsid w:val="00D20CA8"/>
    <w:rsid w:val="00D20D6D"/>
    <w:rsid w:val="00D211CF"/>
    <w:rsid w:val="00D2133E"/>
    <w:rsid w:val="00D21FE9"/>
    <w:rsid w:val="00D2207B"/>
    <w:rsid w:val="00D22553"/>
    <w:rsid w:val="00D229B7"/>
    <w:rsid w:val="00D22BF7"/>
    <w:rsid w:val="00D22CD0"/>
    <w:rsid w:val="00D234A3"/>
    <w:rsid w:val="00D23683"/>
    <w:rsid w:val="00D23877"/>
    <w:rsid w:val="00D23B5D"/>
    <w:rsid w:val="00D24193"/>
    <w:rsid w:val="00D243CC"/>
    <w:rsid w:val="00D24B6D"/>
    <w:rsid w:val="00D24CD5"/>
    <w:rsid w:val="00D2528D"/>
    <w:rsid w:val="00D25343"/>
    <w:rsid w:val="00D25464"/>
    <w:rsid w:val="00D259EC"/>
    <w:rsid w:val="00D25ABE"/>
    <w:rsid w:val="00D2630E"/>
    <w:rsid w:val="00D2662F"/>
    <w:rsid w:val="00D26DE5"/>
    <w:rsid w:val="00D26EA7"/>
    <w:rsid w:val="00D27633"/>
    <w:rsid w:val="00D27688"/>
    <w:rsid w:val="00D276A2"/>
    <w:rsid w:val="00D277AB"/>
    <w:rsid w:val="00D2789B"/>
    <w:rsid w:val="00D27A26"/>
    <w:rsid w:val="00D27E23"/>
    <w:rsid w:val="00D302A7"/>
    <w:rsid w:val="00D3057A"/>
    <w:rsid w:val="00D30A36"/>
    <w:rsid w:val="00D31502"/>
    <w:rsid w:val="00D31EB9"/>
    <w:rsid w:val="00D31FEB"/>
    <w:rsid w:val="00D32356"/>
    <w:rsid w:val="00D326FB"/>
    <w:rsid w:val="00D32722"/>
    <w:rsid w:val="00D3295C"/>
    <w:rsid w:val="00D32E0C"/>
    <w:rsid w:val="00D33C54"/>
    <w:rsid w:val="00D33D8A"/>
    <w:rsid w:val="00D33F6B"/>
    <w:rsid w:val="00D34888"/>
    <w:rsid w:val="00D34D27"/>
    <w:rsid w:val="00D35A27"/>
    <w:rsid w:val="00D35F9E"/>
    <w:rsid w:val="00D36181"/>
    <w:rsid w:val="00D36243"/>
    <w:rsid w:val="00D3677E"/>
    <w:rsid w:val="00D37059"/>
    <w:rsid w:val="00D3736E"/>
    <w:rsid w:val="00D374CA"/>
    <w:rsid w:val="00D37546"/>
    <w:rsid w:val="00D37A48"/>
    <w:rsid w:val="00D37B2B"/>
    <w:rsid w:val="00D37BC4"/>
    <w:rsid w:val="00D37FE3"/>
    <w:rsid w:val="00D40C13"/>
    <w:rsid w:val="00D40FA6"/>
    <w:rsid w:val="00D410F2"/>
    <w:rsid w:val="00D413E8"/>
    <w:rsid w:val="00D41537"/>
    <w:rsid w:val="00D41800"/>
    <w:rsid w:val="00D420C0"/>
    <w:rsid w:val="00D424D1"/>
    <w:rsid w:val="00D42A49"/>
    <w:rsid w:val="00D431D6"/>
    <w:rsid w:val="00D43288"/>
    <w:rsid w:val="00D435F4"/>
    <w:rsid w:val="00D437CE"/>
    <w:rsid w:val="00D4388E"/>
    <w:rsid w:val="00D438EC"/>
    <w:rsid w:val="00D43CC4"/>
    <w:rsid w:val="00D43EDC"/>
    <w:rsid w:val="00D44601"/>
    <w:rsid w:val="00D44663"/>
    <w:rsid w:val="00D44673"/>
    <w:rsid w:val="00D4494B"/>
    <w:rsid w:val="00D45240"/>
    <w:rsid w:val="00D45700"/>
    <w:rsid w:val="00D45B34"/>
    <w:rsid w:val="00D45CB2"/>
    <w:rsid w:val="00D4601A"/>
    <w:rsid w:val="00D46731"/>
    <w:rsid w:val="00D46786"/>
    <w:rsid w:val="00D468DC"/>
    <w:rsid w:val="00D46AE4"/>
    <w:rsid w:val="00D46D97"/>
    <w:rsid w:val="00D46F12"/>
    <w:rsid w:val="00D4715B"/>
    <w:rsid w:val="00D471A7"/>
    <w:rsid w:val="00D47F2C"/>
    <w:rsid w:val="00D47FB6"/>
    <w:rsid w:val="00D5045C"/>
    <w:rsid w:val="00D50D43"/>
    <w:rsid w:val="00D50E61"/>
    <w:rsid w:val="00D510FB"/>
    <w:rsid w:val="00D515AE"/>
    <w:rsid w:val="00D515CB"/>
    <w:rsid w:val="00D5168E"/>
    <w:rsid w:val="00D51767"/>
    <w:rsid w:val="00D51AD4"/>
    <w:rsid w:val="00D51CFB"/>
    <w:rsid w:val="00D5238B"/>
    <w:rsid w:val="00D52712"/>
    <w:rsid w:val="00D5281D"/>
    <w:rsid w:val="00D53115"/>
    <w:rsid w:val="00D536D3"/>
    <w:rsid w:val="00D5383C"/>
    <w:rsid w:val="00D539AA"/>
    <w:rsid w:val="00D54159"/>
    <w:rsid w:val="00D542EF"/>
    <w:rsid w:val="00D5478D"/>
    <w:rsid w:val="00D54CB0"/>
    <w:rsid w:val="00D54CC3"/>
    <w:rsid w:val="00D54DD9"/>
    <w:rsid w:val="00D54ED2"/>
    <w:rsid w:val="00D55439"/>
    <w:rsid w:val="00D555DA"/>
    <w:rsid w:val="00D557E9"/>
    <w:rsid w:val="00D558DE"/>
    <w:rsid w:val="00D562BE"/>
    <w:rsid w:val="00D5635A"/>
    <w:rsid w:val="00D5660A"/>
    <w:rsid w:val="00D56EC9"/>
    <w:rsid w:val="00D570B1"/>
    <w:rsid w:val="00D573B4"/>
    <w:rsid w:val="00D57481"/>
    <w:rsid w:val="00D575EC"/>
    <w:rsid w:val="00D579F1"/>
    <w:rsid w:val="00D57A67"/>
    <w:rsid w:val="00D60A7B"/>
    <w:rsid w:val="00D60B54"/>
    <w:rsid w:val="00D60BC9"/>
    <w:rsid w:val="00D60DA8"/>
    <w:rsid w:val="00D60E8E"/>
    <w:rsid w:val="00D610CE"/>
    <w:rsid w:val="00D611E5"/>
    <w:rsid w:val="00D61475"/>
    <w:rsid w:val="00D618E5"/>
    <w:rsid w:val="00D61931"/>
    <w:rsid w:val="00D61F92"/>
    <w:rsid w:val="00D61FFF"/>
    <w:rsid w:val="00D62029"/>
    <w:rsid w:val="00D629F1"/>
    <w:rsid w:val="00D62A07"/>
    <w:rsid w:val="00D62CB6"/>
    <w:rsid w:val="00D62DE9"/>
    <w:rsid w:val="00D63197"/>
    <w:rsid w:val="00D635D9"/>
    <w:rsid w:val="00D639D4"/>
    <w:rsid w:val="00D63A2A"/>
    <w:rsid w:val="00D63A48"/>
    <w:rsid w:val="00D63ADA"/>
    <w:rsid w:val="00D6444F"/>
    <w:rsid w:val="00D644B8"/>
    <w:rsid w:val="00D648A1"/>
    <w:rsid w:val="00D648CA"/>
    <w:rsid w:val="00D64A34"/>
    <w:rsid w:val="00D64B60"/>
    <w:rsid w:val="00D64CF0"/>
    <w:rsid w:val="00D64F98"/>
    <w:rsid w:val="00D65285"/>
    <w:rsid w:val="00D6537E"/>
    <w:rsid w:val="00D653AF"/>
    <w:rsid w:val="00D6542C"/>
    <w:rsid w:val="00D657F1"/>
    <w:rsid w:val="00D65818"/>
    <w:rsid w:val="00D658CB"/>
    <w:rsid w:val="00D660CD"/>
    <w:rsid w:val="00D660D2"/>
    <w:rsid w:val="00D66670"/>
    <w:rsid w:val="00D66B50"/>
    <w:rsid w:val="00D66F6E"/>
    <w:rsid w:val="00D672B5"/>
    <w:rsid w:val="00D6751A"/>
    <w:rsid w:val="00D67658"/>
    <w:rsid w:val="00D677CF"/>
    <w:rsid w:val="00D67B06"/>
    <w:rsid w:val="00D67BAD"/>
    <w:rsid w:val="00D70245"/>
    <w:rsid w:val="00D70C33"/>
    <w:rsid w:val="00D70D5F"/>
    <w:rsid w:val="00D71357"/>
    <w:rsid w:val="00D713B8"/>
    <w:rsid w:val="00D71583"/>
    <w:rsid w:val="00D71F1A"/>
    <w:rsid w:val="00D72213"/>
    <w:rsid w:val="00D723DC"/>
    <w:rsid w:val="00D72485"/>
    <w:rsid w:val="00D72592"/>
    <w:rsid w:val="00D7270E"/>
    <w:rsid w:val="00D7285C"/>
    <w:rsid w:val="00D7288F"/>
    <w:rsid w:val="00D72920"/>
    <w:rsid w:val="00D72AC2"/>
    <w:rsid w:val="00D72ACC"/>
    <w:rsid w:val="00D72D46"/>
    <w:rsid w:val="00D7302F"/>
    <w:rsid w:val="00D73507"/>
    <w:rsid w:val="00D738AC"/>
    <w:rsid w:val="00D7398D"/>
    <w:rsid w:val="00D73FE2"/>
    <w:rsid w:val="00D742E9"/>
    <w:rsid w:val="00D74672"/>
    <w:rsid w:val="00D74D46"/>
    <w:rsid w:val="00D75655"/>
    <w:rsid w:val="00D75C0E"/>
    <w:rsid w:val="00D75EC6"/>
    <w:rsid w:val="00D75EFC"/>
    <w:rsid w:val="00D76247"/>
    <w:rsid w:val="00D76293"/>
    <w:rsid w:val="00D762B2"/>
    <w:rsid w:val="00D77307"/>
    <w:rsid w:val="00D774E1"/>
    <w:rsid w:val="00D7773A"/>
    <w:rsid w:val="00D77D8F"/>
    <w:rsid w:val="00D80587"/>
    <w:rsid w:val="00D80D92"/>
    <w:rsid w:val="00D81138"/>
    <w:rsid w:val="00D8161B"/>
    <w:rsid w:val="00D81842"/>
    <w:rsid w:val="00D81A0C"/>
    <w:rsid w:val="00D81A7F"/>
    <w:rsid w:val="00D81CF3"/>
    <w:rsid w:val="00D8242A"/>
    <w:rsid w:val="00D82464"/>
    <w:rsid w:val="00D8291A"/>
    <w:rsid w:val="00D82DEB"/>
    <w:rsid w:val="00D83871"/>
    <w:rsid w:val="00D8392C"/>
    <w:rsid w:val="00D84846"/>
    <w:rsid w:val="00D84F97"/>
    <w:rsid w:val="00D851BD"/>
    <w:rsid w:val="00D851C6"/>
    <w:rsid w:val="00D85877"/>
    <w:rsid w:val="00D8598E"/>
    <w:rsid w:val="00D85BEA"/>
    <w:rsid w:val="00D86764"/>
    <w:rsid w:val="00D8699E"/>
    <w:rsid w:val="00D86D60"/>
    <w:rsid w:val="00D87577"/>
    <w:rsid w:val="00D87F4F"/>
    <w:rsid w:val="00D908AF"/>
    <w:rsid w:val="00D90A74"/>
    <w:rsid w:val="00D910B4"/>
    <w:rsid w:val="00D91151"/>
    <w:rsid w:val="00D9131E"/>
    <w:rsid w:val="00D915C1"/>
    <w:rsid w:val="00D917CA"/>
    <w:rsid w:val="00D91AF6"/>
    <w:rsid w:val="00D91C20"/>
    <w:rsid w:val="00D91EFD"/>
    <w:rsid w:val="00D91F8E"/>
    <w:rsid w:val="00D92075"/>
    <w:rsid w:val="00D922FB"/>
    <w:rsid w:val="00D92CAC"/>
    <w:rsid w:val="00D931BC"/>
    <w:rsid w:val="00D9354F"/>
    <w:rsid w:val="00D93751"/>
    <w:rsid w:val="00D93BB8"/>
    <w:rsid w:val="00D94282"/>
    <w:rsid w:val="00D94D08"/>
    <w:rsid w:val="00D94D29"/>
    <w:rsid w:val="00D94F87"/>
    <w:rsid w:val="00D9596C"/>
    <w:rsid w:val="00D95AC8"/>
    <w:rsid w:val="00D95BF0"/>
    <w:rsid w:val="00D95E5C"/>
    <w:rsid w:val="00D95E71"/>
    <w:rsid w:val="00D962D7"/>
    <w:rsid w:val="00D969E4"/>
    <w:rsid w:val="00D97A6B"/>
    <w:rsid w:val="00DA00F3"/>
    <w:rsid w:val="00DA07C4"/>
    <w:rsid w:val="00DA0AEB"/>
    <w:rsid w:val="00DA186A"/>
    <w:rsid w:val="00DA2476"/>
    <w:rsid w:val="00DA2DF7"/>
    <w:rsid w:val="00DA2E7B"/>
    <w:rsid w:val="00DA307F"/>
    <w:rsid w:val="00DA30C4"/>
    <w:rsid w:val="00DA310A"/>
    <w:rsid w:val="00DA389A"/>
    <w:rsid w:val="00DA39A6"/>
    <w:rsid w:val="00DA3FB3"/>
    <w:rsid w:val="00DA43F6"/>
    <w:rsid w:val="00DA4952"/>
    <w:rsid w:val="00DA4AA1"/>
    <w:rsid w:val="00DA500A"/>
    <w:rsid w:val="00DA509C"/>
    <w:rsid w:val="00DA538A"/>
    <w:rsid w:val="00DA5939"/>
    <w:rsid w:val="00DA6243"/>
    <w:rsid w:val="00DA69E4"/>
    <w:rsid w:val="00DA6AB3"/>
    <w:rsid w:val="00DA6C9D"/>
    <w:rsid w:val="00DA71B3"/>
    <w:rsid w:val="00DA76A2"/>
    <w:rsid w:val="00DA7784"/>
    <w:rsid w:val="00DA78FB"/>
    <w:rsid w:val="00DA794F"/>
    <w:rsid w:val="00DA7FD4"/>
    <w:rsid w:val="00DB003E"/>
    <w:rsid w:val="00DB04E1"/>
    <w:rsid w:val="00DB0B21"/>
    <w:rsid w:val="00DB0BA0"/>
    <w:rsid w:val="00DB0D21"/>
    <w:rsid w:val="00DB0D4C"/>
    <w:rsid w:val="00DB1206"/>
    <w:rsid w:val="00DB144B"/>
    <w:rsid w:val="00DB14D2"/>
    <w:rsid w:val="00DB14E4"/>
    <w:rsid w:val="00DB15C5"/>
    <w:rsid w:val="00DB1CC3"/>
    <w:rsid w:val="00DB1FF4"/>
    <w:rsid w:val="00DB31B7"/>
    <w:rsid w:val="00DB3368"/>
    <w:rsid w:val="00DB3437"/>
    <w:rsid w:val="00DB349A"/>
    <w:rsid w:val="00DB34D2"/>
    <w:rsid w:val="00DB3736"/>
    <w:rsid w:val="00DB381E"/>
    <w:rsid w:val="00DB3B16"/>
    <w:rsid w:val="00DB3CF5"/>
    <w:rsid w:val="00DB41C2"/>
    <w:rsid w:val="00DB454E"/>
    <w:rsid w:val="00DB4790"/>
    <w:rsid w:val="00DB4C64"/>
    <w:rsid w:val="00DB4CE5"/>
    <w:rsid w:val="00DB53F8"/>
    <w:rsid w:val="00DB58A8"/>
    <w:rsid w:val="00DB58B4"/>
    <w:rsid w:val="00DB5EA1"/>
    <w:rsid w:val="00DB601F"/>
    <w:rsid w:val="00DB6437"/>
    <w:rsid w:val="00DB6618"/>
    <w:rsid w:val="00DB663D"/>
    <w:rsid w:val="00DB66CD"/>
    <w:rsid w:val="00DB6BFE"/>
    <w:rsid w:val="00DC012E"/>
    <w:rsid w:val="00DC01FF"/>
    <w:rsid w:val="00DC0531"/>
    <w:rsid w:val="00DC0CD5"/>
    <w:rsid w:val="00DC110D"/>
    <w:rsid w:val="00DC160B"/>
    <w:rsid w:val="00DC16C3"/>
    <w:rsid w:val="00DC1733"/>
    <w:rsid w:val="00DC1827"/>
    <w:rsid w:val="00DC193B"/>
    <w:rsid w:val="00DC1E72"/>
    <w:rsid w:val="00DC1F8B"/>
    <w:rsid w:val="00DC200B"/>
    <w:rsid w:val="00DC2194"/>
    <w:rsid w:val="00DC2B18"/>
    <w:rsid w:val="00DC35D8"/>
    <w:rsid w:val="00DC39F6"/>
    <w:rsid w:val="00DC41FF"/>
    <w:rsid w:val="00DC497A"/>
    <w:rsid w:val="00DC4D81"/>
    <w:rsid w:val="00DC5199"/>
    <w:rsid w:val="00DC5B8D"/>
    <w:rsid w:val="00DC5E33"/>
    <w:rsid w:val="00DC5EE1"/>
    <w:rsid w:val="00DC621A"/>
    <w:rsid w:val="00DC689E"/>
    <w:rsid w:val="00DC6B17"/>
    <w:rsid w:val="00DC6B33"/>
    <w:rsid w:val="00DC6EAA"/>
    <w:rsid w:val="00DC6F53"/>
    <w:rsid w:val="00DC706F"/>
    <w:rsid w:val="00DC7087"/>
    <w:rsid w:val="00DC7119"/>
    <w:rsid w:val="00DC72E8"/>
    <w:rsid w:val="00DC7353"/>
    <w:rsid w:val="00DC75D6"/>
    <w:rsid w:val="00DC76FA"/>
    <w:rsid w:val="00DD005A"/>
    <w:rsid w:val="00DD01D7"/>
    <w:rsid w:val="00DD07AA"/>
    <w:rsid w:val="00DD0CE5"/>
    <w:rsid w:val="00DD0D44"/>
    <w:rsid w:val="00DD11E2"/>
    <w:rsid w:val="00DD166E"/>
    <w:rsid w:val="00DD18B2"/>
    <w:rsid w:val="00DD1B93"/>
    <w:rsid w:val="00DD1FCA"/>
    <w:rsid w:val="00DD22B0"/>
    <w:rsid w:val="00DD2A27"/>
    <w:rsid w:val="00DD2DA4"/>
    <w:rsid w:val="00DD3430"/>
    <w:rsid w:val="00DD3785"/>
    <w:rsid w:val="00DD37B5"/>
    <w:rsid w:val="00DD3B4D"/>
    <w:rsid w:val="00DD3DB3"/>
    <w:rsid w:val="00DD44D2"/>
    <w:rsid w:val="00DD467E"/>
    <w:rsid w:val="00DD4732"/>
    <w:rsid w:val="00DD48EF"/>
    <w:rsid w:val="00DD4971"/>
    <w:rsid w:val="00DD4B80"/>
    <w:rsid w:val="00DD4CF2"/>
    <w:rsid w:val="00DD50F9"/>
    <w:rsid w:val="00DD5244"/>
    <w:rsid w:val="00DD5A58"/>
    <w:rsid w:val="00DD5C66"/>
    <w:rsid w:val="00DD5F7E"/>
    <w:rsid w:val="00DD6016"/>
    <w:rsid w:val="00DD60E0"/>
    <w:rsid w:val="00DD62EF"/>
    <w:rsid w:val="00DD6885"/>
    <w:rsid w:val="00DD6DD9"/>
    <w:rsid w:val="00DD6F74"/>
    <w:rsid w:val="00DD6FAC"/>
    <w:rsid w:val="00DD711F"/>
    <w:rsid w:val="00DD78E5"/>
    <w:rsid w:val="00DD7A89"/>
    <w:rsid w:val="00DD7B64"/>
    <w:rsid w:val="00DD7B9A"/>
    <w:rsid w:val="00DD7BB0"/>
    <w:rsid w:val="00DD7C85"/>
    <w:rsid w:val="00DD7D88"/>
    <w:rsid w:val="00DD7ED5"/>
    <w:rsid w:val="00DE046C"/>
    <w:rsid w:val="00DE07D1"/>
    <w:rsid w:val="00DE0F40"/>
    <w:rsid w:val="00DE165E"/>
    <w:rsid w:val="00DE1856"/>
    <w:rsid w:val="00DE187E"/>
    <w:rsid w:val="00DE1C52"/>
    <w:rsid w:val="00DE1C57"/>
    <w:rsid w:val="00DE1FBF"/>
    <w:rsid w:val="00DE2AA9"/>
    <w:rsid w:val="00DE2C81"/>
    <w:rsid w:val="00DE2FB4"/>
    <w:rsid w:val="00DE3150"/>
    <w:rsid w:val="00DE33E1"/>
    <w:rsid w:val="00DE3524"/>
    <w:rsid w:val="00DE371F"/>
    <w:rsid w:val="00DE3737"/>
    <w:rsid w:val="00DE3910"/>
    <w:rsid w:val="00DE3A0B"/>
    <w:rsid w:val="00DE3A95"/>
    <w:rsid w:val="00DE434A"/>
    <w:rsid w:val="00DE43BB"/>
    <w:rsid w:val="00DE43EA"/>
    <w:rsid w:val="00DE4D52"/>
    <w:rsid w:val="00DE5260"/>
    <w:rsid w:val="00DE5361"/>
    <w:rsid w:val="00DE54FC"/>
    <w:rsid w:val="00DE55A7"/>
    <w:rsid w:val="00DE5617"/>
    <w:rsid w:val="00DE5CBE"/>
    <w:rsid w:val="00DE65E8"/>
    <w:rsid w:val="00DE6EF2"/>
    <w:rsid w:val="00DE73C3"/>
    <w:rsid w:val="00DE7779"/>
    <w:rsid w:val="00DE7F0E"/>
    <w:rsid w:val="00DE7FDA"/>
    <w:rsid w:val="00DF01E0"/>
    <w:rsid w:val="00DF025D"/>
    <w:rsid w:val="00DF02A3"/>
    <w:rsid w:val="00DF079B"/>
    <w:rsid w:val="00DF08C1"/>
    <w:rsid w:val="00DF0B95"/>
    <w:rsid w:val="00DF0E51"/>
    <w:rsid w:val="00DF154C"/>
    <w:rsid w:val="00DF1608"/>
    <w:rsid w:val="00DF1664"/>
    <w:rsid w:val="00DF1AA6"/>
    <w:rsid w:val="00DF1DA0"/>
    <w:rsid w:val="00DF230D"/>
    <w:rsid w:val="00DF2754"/>
    <w:rsid w:val="00DF2BC7"/>
    <w:rsid w:val="00DF2EA6"/>
    <w:rsid w:val="00DF301A"/>
    <w:rsid w:val="00DF307C"/>
    <w:rsid w:val="00DF30C2"/>
    <w:rsid w:val="00DF3562"/>
    <w:rsid w:val="00DF362C"/>
    <w:rsid w:val="00DF3A7D"/>
    <w:rsid w:val="00DF3FE9"/>
    <w:rsid w:val="00DF406F"/>
    <w:rsid w:val="00DF4083"/>
    <w:rsid w:val="00DF4AF2"/>
    <w:rsid w:val="00DF4DB5"/>
    <w:rsid w:val="00DF4DEF"/>
    <w:rsid w:val="00DF4EC5"/>
    <w:rsid w:val="00DF4F42"/>
    <w:rsid w:val="00DF58B2"/>
    <w:rsid w:val="00DF5C30"/>
    <w:rsid w:val="00DF5CC6"/>
    <w:rsid w:val="00DF5D33"/>
    <w:rsid w:val="00DF5FC6"/>
    <w:rsid w:val="00DF620E"/>
    <w:rsid w:val="00DF66CC"/>
    <w:rsid w:val="00DF69CD"/>
    <w:rsid w:val="00DF6F2A"/>
    <w:rsid w:val="00DF6F4A"/>
    <w:rsid w:val="00DF735C"/>
    <w:rsid w:val="00DF7C83"/>
    <w:rsid w:val="00DF7F78"/>
    <w:rsid w:val="00E0025A"/>
    <w:rsid w:val="00E002B4"/>
    <w:rsid w:val="00E00311"/>
    <w:rsid w:val="00E0040E"/>
    <w:rsid w:val="00E00425"/>
    <w:rsid w:val="00E0059D"/>
    <w:rsid w:val="00E00CFD"/>
    <w:rsid w:val="00E00F7B"/>
    <w:rsid w:val="00E0106C"/>
    <w:rsid w:val="00E018BE"/>
    <w:rsid w:val="00E0191A"/>
    <w:rsid w:val="00E01F78"/>
    <w:rsid w:val="00E02307"/>
    <w:rsid w:val="00E02545"/>
    <w:rsid w:val="00E028EE"/>
    <w:rsid w:val="00E029DB"/>
    <w:rsid w:val="00E02DED"/>
    <w:rsid w:val="00E0301C"/>
    <w:rsid w:val="00E030CD"/>
    <w:rsid w:val="00E03A10"/>
    <w:rsid w:val="00E04473"/>
    <w:rsid w:val="00E0454A"/>
    <w:rsid w:val="00E04873"/>
    <w:rsid w:val="00E05137"/>
    <w:rsid w:val="00E0586E"/>
    <w:rsid w:val="00E05A65"/>
    <w:rsid w:val="00E0680A"/>
    <w:rsid w:val="00E06C1A"/>
    <w:rsid w:val="00E06F8D"/>
    <w:rsid w:val="00E07134"/>
    <w:rsid w:val="00E07589"/>
    <w:rsid w:val="00E0771C"/>
    <w:rsid w:val="00E0772C"/>
    <w:rsid w:val="00E07794"/>
    <w:rsid w:val="00E07CB4"/>
    <w:rsid w:val="00E07D2B"/>
    <w:rsid w:val="00E07DC4"/>
    <w:rsid w:val="00E100DA"/>
    <w:rsid w:val="00E10B7C"/>
    <w:rsid w:val="00E113A1"/>
    <w:rsid w:val="00E113A4"/>
    <w:rsid w:val="00E117FB"/>
    <w:rsid w:val="00E11B87"/>
    <w:rsid w:val="00E11EFB"/>
    <w:rsid w:val="00E12138"/>
    <w:rsid w:val="00E1257C"/>
    <w:rsid w:val="00E125B5"/>
    <w:rsid w:val="00E12759"/>
    <w:rsid w:val="00E12924"/>
    <w:rsid w:val="00E12A73"/>
    <w:rsid w:val="00E12E96"/>
    <w:rsid w:val="00E13625"/>
    <w:rsid w:val="00E13A6B"/>
    <w:rsid w:val="00E14BCB"/>
    <w:rsid w:val="00E14D4B"/>
    <w:rsid w:val="00E1565A"/>
    <w:rsid w:val="00E15770"/>
    <w:rsid w:val="00E16238"/>
    <w:rsid w:val="00E162CD"/>
    <w:rsid w:val="00E1675F"/>
    <w:rsid w:val="00E168B5"/>
    <w:rsid w:val="00E16A69"/>
    <w:rsid w:val="00E16DF6"/>
    <w:rsid w:val="00E175B8"/>
    <w:rsid w:val="00E17774"/>
    <w:rsid w:val="00E17AE6"/>
    <w:rsid w:val="00E17E2D"/>
    <w:rsid w:val="00E20648"/>
    <w:rsid w:val="00E206E6"/>
    <w:rsid w:val="00E20A44"/>
    <w:rsid w:val="00E2129C"/>
    <w:rsid w:val="00E2193B"/>
    <w:rsid w:val="00E22225"/>
    <w:rsid w:val="00E22694"/>
    <w:rsid w:val="00E22A7A"/>
    <w:rsid w:val="00E22B4D"/>
    <w:rsid w:val="00E23063"/>
    <w:rsid w:val="00E235A7"/>
    <w:rsid w:val="00E23D8E"/>
    <w:rsid w:val="00E23E65"/>
    <w:rsid w:val="00E2410D"/>
    <w:rsid w:val="00E2418C"/>
    <w:rsid w:val="00E242B5"/>
    <w:rsid w:val="00E244F9"/>
    <w:rsid w:val="00E247D8"/>
    <w:rsid w:val="00E24AF7"/>
    <w:rsid w:val="00E24B1E"/>
    <w:rsid w:val="00E24C06"/>
    <w:rsid w:val="00E24C36"/>
    <w:rsid w:val="00E255DF"/>
    <w:rsid w:val="00E25AA8"/>
    <w:rsid w:val="00E25B31"/>
    <w:rsid w:val="00E25BA8"/>
    <w:rsid w:val="00E25BEB"/>
    <w:rsid w:val="00E25DDF"/>
    <w:rsid w:val="00E25F37"/>
    <w:rsid w:val="00E26036"/>
    <w:rsid w:val="00E2627F"/>
    <w:rsid w:val="00E26535"/>
    <w:rsid w:val="00E2660B"/>
    <w:rsid w:val="00E2670A"/>
    <w:rsid w:val="00E26D3A"/>
    <w:rsid w:val="00E26F3C"/>
    <w:rsid w:val="00E271BB"/>
    <w:rsid w:val="00E2763B"/>
    <w:rsid w:val="00E278CE"/>
    <w:rsid w:val="00E30096"/>
    <w:rsid w:val="00E30206"/>
    <w:rsid w:val="00E30234"/>
    <w:rsid w:val="00E3027D"/>
    <w:rsid w:val="00E3028D"/>
    <w:rsid w:val="00E304A7"/>
    <w:rsid w:val="00E306B2"/>
    <w:rsid w:val="00E3099C"/>
    <w:rsid w:val="00E30BA5"/>
    <w:rsid w:val="00E310FF"/>
    <w:rsid w:val="00E31156"/>
    <w:rsid w:val="00E318A1"/>
    <w:rsid w:val="00E31B7D"/>
    <w:rsid w:val="00E32027"/>
    <w:rsid w:val="00E32716"/>
    <w:rsid w:val="00E32CFD"/>
    <w:rsid w:val="00E334D9"/>
    <w:rsid w:val="00E3370D"/>
    <w:rsid w:val="00E33B8C"/>
    <w:rsid w:val="00E33F7F"/>
    <w:rsid w:val="00E33F97"/>
    <w:rsid w:val="00E34348"/>
    <w:rsid w:val="00E349F1"/>
    <w:rsid w:val="00E34FE9"/>
    <w:rsid w:val="00E35420"/>
    <w:rsid w:val="00E35548"/>
    <w:rsid w:val="00E357E4"/>
    <w:rsid w:val="00E360C2"/>
    <w:rsid w:val="00E361D5"/>
    <w:rsid w:val="00E362CA"/>
    <w:rsid w:val="00E3658B"/>
    <w:rsid w:val="00E36A92"/>
    <w:rsid w:val="00E36C1A"/>
    <w:rsid w:val="00E36D4C"/>
    <w:rsid w:val="00E36DF8"/>
    <w:rsid w:val="00E370D1"/>
    <w:rsid w:val="00E374E0"/>
    <w:rsid w:val="00E379F1"/>
    <w:rsid w:val="00E37F6F"/>
    <w:rsid w:val="00E400A0"/>
    <w:rsid w:val="00E401E7"/>
    <w:rsid w:val="00E40662"/>
    <w:rsid w:val="00E40F45"/>
    <w:rsid w:val="00E4121D"/>
    <w:rsid w:val="00E41380"/>
    <w:rsid w:val="00E4147C"/>
    <w:rsid w:val="00E416DC"/>
    <w:rsid w:val="00E4181A"/>
    <w:rsid w:val="00E41C57"/>
    <w:rsid w:val="00E41DC6"/>
    <w:rsid w:val="00E41F6E"/>
    <w:rsid w:val="00E4208B"/>
    <w:rsid w:val="00E4214C"/>
    <w:rsid w:val="00E42566"/>
    <w:rsid w:val="00E429B1"/>
    <w:rsid w:val="00E42A18"/>
    <w:rsid w:val="00E42B7A"/>
    <w:rsid w:val="00E42BBB"/>
    <w:rsid w:val="00E43129"/>
    <w:rsid w:val="00E43166"/>
    <w:rsid w:val="00E43458"/>
    <w:rsid w:val="00E43962"/>
    <w:rsid w:val="00E43C41"/>
    <w:rsid w:val="00E44136"/>
    <w:rsid w:val="00E4436B"/>
    <w:rsid w:val="00E443CB"/>
    <w:rsid w:val="00E4464B"/>
    <w:rsid w:val="00E44960"/>
    <w:rsid w:val="00E458BF"/>
    <w:rsid w:val="00E45E74"/>
    <w:rsid w:val="00E464DC"/>
    <w:rsid w:val="00E466FB"/>
    <w:rsid w:val="00E468A3"/>
    <w:rsid w:val="00E46A19"/>
    <w:rsid w:val="00E46E5A"/>
    <w:rsid w:val="00E46EA3"/>
    <w:rsid w:val="00E46FB4"/>
    <w:rsid w:val="00E470DB"/>
    <w:rsid w:val="00E500F4"/>
    <w:rsid w:val="00E502F5"/>
    <w:rsid w:val="00E507D6"/>
    <w:rsid w:val="00E50C74"/>
    <w:rsid w:val="00E50E3B"/>
    <w:rsid w:val="00E517C8"/>
    <w:rsid w:val="00E51F91"/>
    <w:rsid w:val="00E52949"/>
    <w:rsid w:val="00E52C10"/>
    <w:rsid w:val="00E52D14"/>
    <w:rsid w:val="00E52DDC"/>
    <w:rsid w:val="00E53111"/>
    <w:rsid w:val="00E5360B"/>
    <w:rsid w:val="00E53C51"/>
    <w:rsid w:val="00E53CC9"/>
    <w:rsid w:val="00E53F62"/>
    <w:rsid w:val="00E5417F"/>
    <w:rsid w:val="00E54D1F"/>
    <w:rsid w:val="00E54D32"/>
    <w:rsid w:val="00E54D65"/>
    <w:rsid w:val="00E553EF"/>
    <w:rsid w:val="00E55565"/>
    <w:rsid w:val="00E55DA5"/>
    <w:rsid w:val="00E55FA2"/>
    <w:rsid w:val="00E560B0"/>
    <w:rsid w:val="00E5628A"/>
    <w:rsid w:val="00E56461"/>
    <w:rsid w:val="00E56B58"/>
    <w:rsid w:val="00E57184"/>
    <w:rsid w:val="00E57FE7"/>
    <w:rsid w:val="00E60132"/>
    <w:rsid w:val="00E601CE"/>
    <w:rsid w:val="00E60325"/>
    <w:rsid w:val="00E608FA"/>
    <w:rsid w:val="00E60A8F"/>
    <w:rsid w:val="00E60ECA"/>
    <w:rsid w:val="00E6162C"/>
    <w:rsid w:val="00E616C0"/>
    <w:rsid w:val="00E6172F"/>
    <w:rsid w:val="00E61889"/>
    <w:rsid w:val="00E61DB8"/>
    <w:rsid w:val="00E61E77"/>
    <w:rsid w:val="00E620E5"/>
    <w:rsid w:val="00E62201"/>
    <w:rsid w:val="00E62224"/>
    <w:rsid w:val="00E628B5"/>
    <w:rsid w:val="00E62919"/>
    <w:rsid w:val="00E62B66"/>
    <w:rsid w:val="00E62E49"/>
    <w:rsid w:val="00E63071"/>
    <w:rsid w:val="00E634FA"/>
    <w:rsid w:val="00E6362D"/>
    <w:rsid w:val="00E637C4"/>
    <w:rsid w:val="00E63B30"/>
    <w:rsid w:val="00E63BF6"/>
    <w:rsid w:val="00E64241"/>
    <w:rsid w:val="00E64393"/>
    <w:rsid w:val="00E64682"/>
    <w:rsid w:val="00E64901"/>
    <w:rsid w:val="00E6494F"/>
    <w:rsid w:val="00E64AD5"/>
    <w:rsid w:val="00E64F3E"/>
    <w:rsid w:val="00E654F2"/>
    <w:rsid w:val="00E6594C"/>
    <w:rsid w:val="00E659D0"/>
    <w:rsid w:val="00E66046"/>
    <w:rsid w:val="00E66171"/>
    <w:rsid w:val="00E665F8"/>
    <w:rsid w:val="00E665FE"/>
    <w:rsid w:val="00E66B86"/>
    <w:rsid w:val="00E670A6"/>
    <w:rsid w:val="00E67867"/>
    <w:rsid w:val="00E67FB0"/>
    <w:rsid w:val="00E7017B"/>
    <w:rsid w:val="00E702DE"/>
    <w:rsid w:val="00E70794"/>
    <w:rsid w:val="00E70BF1"/>
    <w:rsid w:val="00E70CD0"/>
    <w:rsid w:val="00E70DB3"/>
    <w:rsid w:val="00E7187F"/>
    <w:rsid w:val="00E720AE"/>
    <w:rsid w:val="00E723EC"/>
    <w:rsid w:val="00E72607"/>
    <w:rsid w:val="00E72D2D"/>
    <w:rsid w:val="00E72DD6"/>
    <w:rsid w:val="00E733BE"/>
    <w:rsid w:val="00E736B6"/>
    <w:rsid w:val="00E739F4"/>
    <w:rsid w:val="00E74139"/>
    <w:rsid w:val="00E7462F"/>
    <w:rsid w:val="00E74664"/>
    <w:rsid w:val="00E746DD"/>
    <w:rsid w:val="00E747F7"/>
    <w:rsid w:val="00E74C04"/>
    <w:rsid w:val="00E750F4"/>
    <w:rsid w:val="00E7514D"/>
    <w:rsid w:val="00E75355"/>
    <w:rsid w:val="00E75715"/>
    <w:rsid w:val="00E75746"/>
    <w:rsid w:val="00E75E88"/>
    <w:rsid w:val="00E76840"/>
    <w:rsid w:val="00E76FC7"/>
    <w:rsid w:val="00E7701B"/>
    <w:rsid w:val="00E772B0"/>
    <w:rsid w:val="00E773E1"/>
    <w:rsid w:val="00E77720"/>
    <w:rsid w:val="00E7798E"/>
    <w:rsid w:val="00E77C9C"/>
    <w:rsid w:val="00E77DE4"/>
    <w:rsid w:val="00E80507"/>
    <w:rsid w:val="00E8066A"/>
    <w:rsid w:val="00E80F15"/>
    <w:rsid w:val="00E8108D"/>
    <w:rsid w:val="00E8134C"/>
    <w:rsid w:val="00E81E03"/>
    <w:rsid w:val="00E8215D"/>
    <w:rsid w:val="00E8226F"/>
    <w:rsid w:val="00E823A0"/>
    <w:rsid w:val="00E823C5"/>
    <w:rsid w:val="00E8290E"/>
    <w:rsid w:val="00E82AFC"/>
    <w:rsid w:val="00E8300D"/>
    <w:rsid w:val="00E83273"/>
    <w:rsid w:val="00E8388C"/>
    <w:rsid w:val="00E842C4"/>
    <w:rsid w:val="00E84516"/>
    <w:rsid w:val="00E845E9"/>
    <w:rsid w:val="00E8480A"/>
    <w:rsid w:val="00E85175"/>
    <w:rsid w:val="00E853CC"/>
    <w:rsid w:val="00E859B5"/>
    <w:rsid w:val="00E85E66"/>
    <w:rsid w:val="00E86338"/>
    <w:rsid w:val="00E86490"/>
    <w:rsid w:val="00E864F9"/>
    <w:rsid w:val="00E868A8"/>
    <w:rsid w:val="00E86904"/>
    <w:rsid w:val="00E86EE4"/>
    <w:rsid w:val="00E8707D"/>
    <w:rsid w:val="00E87786"/>
    <w:rsid w:val="00E879F7"/>
    <w:rsid w:val="00E87B81"/>
    <w:rsid w:val="00E90A5C"/>
    <w:rsid w:val="00E90ADC"/>
    <w:rsid w:val="00E90B86"/>
    <w:rsid w:val="00E90C24"/>
    <w:rsid w:val="00E90D69"/>
    <w:rsid w:val="00E90FE7"/>
    <w:rsid w:val="00E916DA"/>
    <w:rsid w:val="00E917C9"/>
    <w:rsid w:val="00E91D0D"/>
    <w:rsid w:val="00E9277E"/>
    <w:rsid w:val="00E92B1F"/>
    <w:rsid w:val="00E92DB7"/>
    <w:rsid w:val="00E930C6"/>
    <w:rsid w:val="00E93544"/>
    <w:rsid w:val="00E9380F"/>
    <w:rsid w:val="00E93815"/>
    <w:rsid w:val="00E939DC"/>
    <w:rsid w:val="00E93B31"/>
    <w:rsid w:val="00E93BC2"/>
    <w:rsid w:val="00E93CD0"/>
    <w:rsid w:val="00E940F8"/>
    <w:rsid w:val="00E944A4"/>
    <w:rsid w:val="00E94CC6"/>
    <w:rsid w:val="00E94DDE"/>
    <w:rsid w:val="00E957EB"/>
    <w:rsid w:val="00E95855"/>
    <w:rsid w:val="00E959F3"/>
    <w:rsid w:val="00E95AD7"/>
    <w:rsid w:val="00E95B0F"/>
    <w:rsid w:val="00E95B40"/>
    <w:rsid w:val="00E95D34"/>
    <w:rsid w:val="00E9678C"/>
    <w:rsid w:val="00E967E8"/>
    <w:rsid w:val="00E968F5"/>
    <w:rsid w:val="00E96C65"/>
    <w:rsid w:val="00E96F1C"/>
    <w:rsid w:val="00E9718A"/>
    <w:rsid w:val="00E976D8"/>
    <w:rsid w:val="00E97AD1"/>
    <w:rsid w:val="00E97CC0"/>
    <w:rsid w:val="00EA006A"/>
    <w:rsid w:val="00EA03EA"/>
    <w:rsid w:val="00EA048A"/>
    <w:rsid w:val="00EA0A1B"/>
    <w:rsid w:val="00EA0BC2"/>
    <w:rsid w:val="00EA0F6C"/>
    <w:rsid w:val="00EA0F9E"/>
    <w:rsid w:val="00EA11E5"/>
    <w:rsid w:val="00EA16B4"/>
    <w:rsid w:val="00EA1D4F"/>
    <w:rsid w:val="00EA2065"/>
    <w:rsid w:val="00EA2C3D"/>
    <w:rsid w:val="00EA2DF9"/>
    <w:rsid w:val="00EA2FA9"/>
    <w:rsid w:val="00EA2FC6"/>
    <w:rsid w:val="00EA37E7"/>
    <w:rsid w:val="00EA3F77"/>
    <w:rsid w:val="00EA4529"/>
    <w:rsid w:val="00EA4B27"/>
    <w:rsid w:val="00EA52EB"/>
    <w:rsid w:val="00EA5932"/>
    <w:rsid w:val="00EA6079"/>
    <w:rsid w:val="00EA67E1"/>
    <w:rsid w:val="00EA6B03"/>
    <w:rsid w:val="00EA6C9B"/>
    <w:rsid w:val="00EA6DCE"/>
    <w:rsid w:val="00EA6E0A"/>
    <w:rsid w:val="00EA78FE"/>
    <w:rsid w:val="00EA7A96"/>
    <w:rsid w:val="00EA7D32"/>
    <w:rsid w:val="00EA7DF6"/>
    <w:rsid w:val="00EA7F59"/>
    <w:rsid w:val="00EB000C"/>
    <w:rsid w:val="00EB00F6"/>
    <w:rsid w:val="00EB0187"/>
    <w:rsid w:val="00EB01EE"/>
    <w:rsid w:val="00EB03B4"/>
    <w:rsid w:val="00EB07F2"/>
    <w:rsid w:val="00EB0928"/>
    <w:rsid w:val="00EB1334"/>
    <w:rsid w:val="00EB137F"/>
    <w:rsid w:val="00EB184C"/>
    <w:rsid w:val="00EB1C88"/>
    <w:rsid w:val="00EB1D1F"/>
    <w:rsid w:val="00EB1EFF"/>
    <w:rsid w:val="00EB2227"/>
    <w:rsid w:val="00EB27CD"/>
    <w:rsid w:val="00EB2ADD"/>
    <w:rsid w:val="00EB2CF0"/>
    <w:rsid w:val="00EB32DD"/>
    <w:rsid w:val="00EB331D"/>
    <w:rsid w:val="00EB3340"/>
    <w:rsid w:val="00EB3948"/>
    <w:rsid w:val="00EB3B23"/>
    <w:rsid w:val="00EB4008"/>
    <w:rsid w:val="00EB4139"/>
    <w:rsid w:val="00EB452C"/>
    <w:rsid w:val="00EB4595"/>
    <w:rsid w:val="00EB4C49"/>
    <w:rsid w:val="00EB4C76"/>
    <w:rsid w:val="00EB4DE7"/>
    <w:rsid w:val="00EB6174"/>
    <w:rsid w:val="00EB63FF"/>
    <w:rsid w:val="00EB6A0F"/>
    <w:rsid w:val="00EB6CE7"/>
    <w:rsid w:val="00EB6D84"/>
    <w:rsid w:val="00EB72CC"/>
    <w:rsid w:val="00EB7426"/>
    <w:rsid w:val="00EB79F5"/>
    <w:rsid w:val="00EB7B1D"/>
    <w:rsid w:val="00EC0178"/>
    <w:rsid w:val="00EC04AC"/>
    <w:rsid w:val="00EC065E"/>
    <w:rsid w:val="00EC093E"/>
    <w:rsid w:val="00EC09BC"/>
    <w:rsid w:val="00EC0A98"/>
    <w:rsid w:val="00EC0B6D"/>
    <w:rsid w:val="00EC0F06"/>
    <w:rsid w:val="00EC1264"/>
    <w:rsid w:val="00EC1519"/>
    <w:rsid w:val="00EC1BD4"/>
    <w:rsid w:val="00EC1F77"/>
    <w:rsid w:val="00EC1F90"/>
    <w:rsid w:val="00EC2444"/>
    <w:rsid w:val="00EC2813"/>
    <w:rsid w:val="00EC2E92"/>
    <w:rsid w:val="00EC34A4"/>
    <w:rsid w:val="00EC38C5"/>
    <w:rsid w:val="00EC3AE9"/>
    <w:rsid w:val="00EC4146"/>
    <w:rsid w:val="00EC41EF"/>
    <w:rsid w:val="00EC444E"/>
    <w:rsid w:val="00EC44FE"/>
    <w:rsid w:val="00EC473B"/>
    <w:rsid w:val="00EC4AF1"/>
    <w:rsid w:val="00EC4E72"/>
    <w:rsid w:val="00EC4FAD"/>
    <w:rsid w:val="00EC4FDF"/>
    <w:rsid w:val="00EC556B"/>
    <w:rsid w:val="00EC55B4"/>
    <w:rsid w:val="00EC5956"/>
    <w:rsid w:val="00EC6013"/>
    <w:rsid w:val="00EC62E0"/>
    <w:rsid w:val="00EC6B7B"/>
    <w:rsid w:val="00EC6D5F"/>
    <w:rsid w:val="00EC6E54"/>
    <w:rsid w:val="00EC7006"/>
    <w:rsid w:val="00EC733B"/>
    <w:rsid w:val="00EC78B8"/>
    <w:rsid w:val="00ED0341"/>
    <w:rsid w:val="00ED03E2"/>
    <w:rsid w:val="00ED0C66"/>
    <w:rsid w:val="00ED0EED"/>
    <w:rsid w:val="00ED1652"/>
    <w:rsid w:val="00ED1690"/>
    <w:rsid w:val="00ED17E1"/>
    <w:rsid w:val="00ED1982"/>
    <w:rsid w:val="00ED1EE3"/>
    <w:rsid w:val="00ED2083"/>
    <w:rsid w:val="00ED23E2"/>
    <w:rsid w:val="00ED2952"/>
    <w:rsid w:val="00ED3438"/>
    <w:rsid w:val="00ED362A"/>
    <w:rsid w:val="00ED3631"/>
    <w:rsid w:val="00ED3931"/>
    <w:rsid w:val="00ED3AA5"/>
    <w:rsid w:val="00ED4201"/>
    <w:rsid w:val="00ED45AC"/>
    <w:rsid w:val="00ED50F4"/>
    <w:rsid w:val="00ED50F8"/>
    <w:rsid w:val="00ED530C"/>
    <w:rsid w:val="00ED5729"/>
    <w:rsid w:val="00ED5875"/>
    <w:rsid w:val="00ED59C2"/>
    <w:rsid w:val="00ED5A63"/>
    <w:rsid w:val="00ED5BD7"/>
    <w:rsid w:val="00ED5CBB"/>
    <w:rsid w:val="00ED5CF3"/>
    <w:rsid w:val="00ED5EAE"/>
    <w:rsid w:val="00ED6A73"/>
    <w:rsid w:val="00ED6DF9"/>
    <w:rsid w:val="00ED6E16"/>
    <w:rsid w:val="00ED7410"/>
    <w:rsid w:val="00ED74C1"/>
    <w:rsid w:val="00ED757A"/>
    <w:rsid w:val="00ED7F16"/>
    <w:rsid w:val="00EE040E"/>
    <w:rsid w:val="00EE0441"/>
    <w:rsid w:val="00EE081A"/>
    <w:rsid w:val="00EE0855"/>
    <w:rsid w:val="00EE085F"/>
    <w:rsid w:val="00EE0898"/>
    <w:rsid w:val="00EE0E53"/>
    <w:rsid w:val="00EE175A"/>
    <w:rsid w:val="00EE1862"/>
    <w:rsid w:val="00EE19A2"/>
    <w:rsid w:val="00EE1A51"/>
    <w:rsid w:val="00EE1DD9"/>
    <w:rsid w:val="00EE1E34"/>
    <w:rsid w:val="00EE21A0"/>
    <w:rsid w:val="00EE26C9"/>
    <w:rsid w:val="00EE2862"/>
    <w:rsid w:val="00EE2B15"/>
    <w:rsid w:val="00EE2D25"/>
    <w:rsid w:val="00EE33C9"/>
    <w:rsid w:val="00EE3494"/>
    <w:rsid w:val="00EE3581"/>
    <w:rsid w:val="00EE3739"/>
    <w:rsid w:val="00EE3AA1"/>
    <w:rsid w:val="00EE3E19"/>
    <w:rsid w:val="00EE49EF"/>
    <w:rsid w:val="00EE4C56"/>
    <w:rsid w:val="00EE5066"/>
    <w:rsid w:val="00EE5159"/>
    <w:rsid w:val="00EE52E2"/>
    <w:rsid w:val="00EE5EFA"/>
    <w:rsid w:val="00EE62CE"/>
    <w:rsid w:val="00EE6688"/>
    <w:rsid w:val="00EE66D5"/>
    <w:rsid w:val="00EE684D"/>
    <w:rsid w:val="00EE6C2E"/>
    <w:rsid w:val="00EE6F61"/>
    <w:rsid w:val="00EE721E"/>
    <w:rsid w:val="00EE7F80"/>
    <w:rsid w:val="00EF02B9"/>
    <w:rsid w:val="00EF07F9"/>
    <w:rsid w:val="00EF0816"/>
    <w:rsid w:val="00EF0964"/>
    <w:rsid w:val="00EF0973"/>
    <w:rsid w:val="00EF0AE7"/>
    <w:rsid w:val="00EF0D7B"/>
    <w:rsid w:val="00EF108F"/>
    <w:rsid w:val="00EF154D"/>
    <w:rsid w:val="00EF1638"/>
    <w:rsid w:val="00EF169B"/>
    <w:rsid w:val="00EF17A2"/>
    <w:rsid w:val="00EF17E5"/>
    <w:rsid w:val="00EF28D9"/>
    <w:rsid w:val="00EF2BA8"/>
    <w:rsid w:val="00EF2BBE"/>
    <w:rsid w:val="00EF2F43"/>
    <w:rsid w:val="00EF30B4"/>
    <w:rsid w:val="00EF39B1"/>
    <w:rsid w:val="00EF41C3"/>
    <w:rsid w:val="00EF4276"/>
    <w:rsid w:val="00EF42B9"/>
    <w:rsid w:val="00EF43CE"/>
    <w:rsid w:val="00EF5551"/>
    <w:rsid w:val="00EF5B4E"/>
    <w:rsid w:val="00EF5C22"/>
    <w:rsid w:val="00EF5ECE"/>
    <w:rsid w:val="00EF6E82"/>
    <w:rsid w:val="00EF7036"/>
    <w:rsid w:val="00EF71DA"/>
    <w:rsid w:val="00EF72B8"/>
    <w:rsid w:val="00EF7616"/>
    <w:rsid w:val="00EF7B68"/>
    <w:rsid w:val="00EF7F93"/>
    <w:rsid w:val="00F006E8"/>
    <w:rsid w:val="00F009DE"/>
    <w:rsid w:val="00F00B33"/>
    <w:rsid w:val="00F00CFE"/>
    <w:rsid w:val="00F00D1D"/>
    <w:rsid w:val="00F01002"/>
    <w:rsid w:val="00F0139A"/>
    <w:rsid w:val="00F013A0"/>
    <w:rsid w:val="00F014CD"/>
    <w:rsid w:val="00F0150E"/>
    <w:rsid w:val="00F016FD"/>
    <w:rsid w:val="00F02246"/>
    <w:rsid w:val="00F027E5"/>
    <w:rsid w:val="00F02B36"/>
    <w:rsid w:val="00F02BB2"/>
    <w:rsid w:val="00F030D9"/>
    <w:rsid w:val="00F03168"/>
    <w:rsid w:val="00F035B7"/>
    <w:rsid w:val="00F0369A"/>
    <w:rsid w:val="00F038BF"/>
    <w:rsid w:val="00F03933"/>
    <w:rsid w:val="00F0394A"/>
    <w:rsid w:val="00F03D4B"/>
    <w:rsid w:val="00F03DDF"/>
    <w:rsid w:val="00F03DED"/>
    <w:rsid w:val="00F03E31"/>
    <w:rsid w:val="00F03F67"/>
    <w:rsid w:val="00F0467E"/>
    <w:rsid w:val="00F04850"/>
    <w:rsid w:val="00F04B3C"/>
    <w:rsid w:val="00F04DDD"/>
    <w:rsid w:val="00F04F72"/>
    <w:rsid w:val="00F05599"/>
    <w:rsid w:val="00F05A9D"/>
    <w:rsid w:val="00F05BB0"/>
    <w:rsid w:val="00F05DFA"/>
    <w:rsid w:val="00F05F14"/>
    <w:rsid w:val="00F06733"/>
    <w:rsid w:val="00F07629"/>
    <w:rsid w:val="00F07957"/>
    <w:rsid w:val="00F07D83"/>
    <w:rsid w:val="00F103A4"/>
    <w:rsid w:val="00F10594"/>
    <w:rsid w:val="00F10D0B"/>
    <w:rsid w:val="00F11232"/>
    <w:rsid w:val="00F1143C"/>
    <w:rsid w:val="00F11669"/>
    <w:rsid w:val="00F117D6"/>
    <w:rsid w:val="00F11A5E"/>
    <w:rsid w:val="00F12161"/>
    <w:rsid w:val="00F12249"/>
    <w:rsid w:val="00F12312"/>
    <w:rsid w:val="00F12474"/>
    <w:rsid w:val="00F125F8"/>
    <w:rsid w:val="00F13884"/>
    <w:rsid w:val="00F13C38"/>
    <w:rsid w:val="00F140E4"/>
    <w:rsid w:val="00F14C76"/>
    <w:rsid w:val="00F14F88"/>
    <w:rsid w:val="00F1519F"/>
    <w:rsid w:val="00F15235"/>
    <w:rsid w:val="00F15599"/>
    <w:rsid w:val="00F15A3B"/>
    <w:rsid w:val="00F15DE4"/>
    <w:rsid w:val="00F15E6B"/>
    <w:rsid w:val="00F16518"/>
    <w:rsid w:val="00F16929"/>
    <w:rsid w:val="00F16D3B"/>
    <w:rsid w:val="00F17433"/>
    <w:rsid w:val="00F176EB"/>
    <w:rsid w:val="00F177D9"/>
    <w:rsid w:val="00F17835"/>
    <w:rsid w:val="00F1786B"/>
    <w:rsid w:val="00F17A9B"/>
    <w:rsid w:val="00F17B44"/>
    <w:rsid w:val="00F17F67"/>
    <w:rsid w:val="00F17FD5"/>
    <w:rsid w:val="00F17FEC"/>
    <w:rsid w:val="00F201B0"/>
    <w:rsid w:val="00F20A99"/>
    <w:rsid w:val="00F20F97"/>
    <w:rsid w:val="00F22056"/>
    <w:rsid w:val="00F2215D"/>
    <w:rsid w:val="00F2255D"/>
    <w:rsid w:val="00F22842"/>
    <w:rsid w:val="00F22CC7"/>
    <w:rsid w:val="00F22DE3"/>
    <w:rsid w:val="00F22F81"/>
    <w:rsid w:val="00F2334E"/>
    <w:rsid w:val="00F23838"/>
    <w:rsid w:val="00F23BD6"/>
    <w:rsid w:val="00F23E12"/>
    <w:rsid w:val="00F241AF"/>
    <w:rsid w:val="00F243B8"/>
    <w:rsid w:val="00F249B9"/>
    <w:rsid w:val="00F25073"/>
    <w:rsid w:val="00F258D8"/>
    <w:rsid w:val="00F25AB7"/>
    <w:rsid w:val="00F25C21"/>
    <w:rsid w:val="00F261D3"/>
    <w:rsid w:val="00F26C60"/>
    <w:rsid w:val="00F27010"/>
    <w:rsid w:val="00F2708C"/>
    <w:rsid w:val="00F279DA"/>
    <w:rsid w:val="00F279F6"/>
    <w:rsid w:val="00F27F80"/>
    <w:rsid w:val="00F30019"/>
    <w:rsid w:val="00F30113"/>
    <w:rsid w:val="00F3050E"/>
    <w:rsid w:val="00F30513"/>
    <w:rsid w:val="00F307A2"/>
    <w:rsid w:val="00F30F26"/>
    <w:rsid w:val="00F31199"/>
    <w:rsid w:val="00F31619"/>
    <w:rsid w:val="00F31669"/>
    <w:rsid w:val="00F31760"/>
    <w:rsid w:val="00F3195C"/>
    <w:rsid w:val="00F31E03"/>
    <w:rsid w:val="00F31E15"/>
    <w:rsid w:val="00F31F2B"/>
    <w:rsid w:val="00F32270"/>
    <w:rsid w:val="00F32531"/>
    <w:rsid w:val="00F325B2"/>
    <w:rsid w:val="00F32A4E"/>
    <w:rsid w:val="00F3304E"/>
    <w:rsid w:val="00F3381E"/>
    <w:rsid w:val="00F338D9"/>
    <w:rsid w:val="00F3398C"/>
    <w:rsid w:val="00F33BD4"/>
    <w:rsid w:val="00F3414D"/>
    <w:rsid w:val="00F3452F"/>
    <w:rsid w:val="00F347A6"/>
    <w:rsid w:val="00F349B8"/>
    <w:rsid w:val="00F34D5C"/>
    <w:rsid w:val="00F35291"/>
    <w:rsid w:val="00F35367"/>
    <w:rsid w:val="00F35373"/>
    <w:rsid w:val="00F35B6F"/>
    <w:rsid w:val="00F35BD4"/>
    <w:rsid w:val="00F35EC8"/>
    <w:rsid w:val="00F35FA6"/>
    <w:rsid w:val="00F36337"/>
    <w:rsid w:val="00F36362"/>
    <w:rsid w:val="00F3648B"/>
    <w:rsid w:val="00F36BAD"/>
    <w:rsid w:val="00F36CA1"/>
    <w:rsid w:val="00F371C3"/>
    <w:rsid w:val="00F379FD"/>
    <w:rsid w:val="00F37D0F"/>
    <w:rsid w:val="00F37D67"/>
    <w:rsid w:val="00F406D9"/>
    <w:rsid w:val="00F40717"/>
    <w:rsid w:val="00F40ADB"/>
    <w:rsid w:val="00F40B9C"/>
    <w:rsid w:val="00F40CAE"/>
    <w:rsid w:val="00F40D1F"/>
    <w:rsid w:val="00F410AD"/>
    <w:rsid w:val="00F413F9"/>
    <w:rsid w:val="00F415DE"/>
    <w:rsid w:val="00F416D1"/>
    <w:rsid w:val="00F417EA"/>
    <w:rsid w:val="00F42212"/>
    <w:rsid w:val="00F4245D"/>
    <w:rsid w:val="00F42624"/>
    <w:rsid w:val="00F429BD"/>
    <w:rsid w:val="00F42E19"/>
    <w:rsid w:val="00F4304C"/>
    <w:rsid w:val="00F43192"/>
    <w:rsid w:val="00F433ED"/>
    <w:rsid w:val="00F43B17"/>
    <w:rsid w:val="00F43E4E"/>
    <w:rsid w:val="00F43EF5"/>
    <w:rsid w:val="00F440EB"/>
    <w:rsid w:val="00F44B72"/>
    <w:rsid w:val="00F44D8C"/>
    <w:rsid w:val="00F44FD7"/>
    <w:rsid w:val="00F44FE6"/>
    <w:rsid w:val="00F45065"/>
    <w:rsid w:val="00F45336"/>
    <w:rsid w:val="00F45615"/>
    <w:rsid w:val="00F45641"/>
    <w:rsid w:val="00F45712"/>
    <w:rsid w:val="00F45723"/>
    <w:rsid w:val="00F459F8"/>
    <w:rsid w:val="00F45CCD"/>
    <w:rsid w:val="00F45D58"/>
    <w:rsid w:val="00F460E4"/>
    <w:rsid w:val="00F46167"/>
    <w:rsid w:val="00F462C3"/>
    <w:rsid w:val="00F467CC"/>
    <w:rsid w:val="00F468F2"/>
    <w:rsid w:val="00F469B0"/>
    <w:rsid w:val="00F472BF"/>
    <w:rsid w:val="00F472EC"/>
    <w:rsid w:val="00F4771D"/>
    <w:rsid w:val="00F47DC0"/>
    <w:rsid w:val="00F500B7"/>
    <w:rsid w:val="00F50250"/>
    <w:rsid w:val="00F507C6"/>
    <w:rsid w:val="00F5097C"/>
    <w:rsid w:val="00F50A08"/>
    <w:rsid w:val="00F50F0F"/>
    <w:rsid w:val="00F50FD5"/>
    <w:rsid w:val="00F5103A"/>
    <w:rsid w:val="00F5145B"/>
    <w:rsid w:val="00F518A9"/>
    <w:rsid w:val="00F51A64"/>
    <w:rsid w:val="00F523D5"/>
    <w:rsid w:val="00F5268D"/>
    <w:rsid w:val="00F5281C"/>
    <w:rsid w:val="00F52974"/>
    <w:rsid w:val="00F52A3B"/>
    <w:rsid w:val="00F52DF1"/>
    <w:rsid w:val="00F53091"/>
    <w:rsid w:val="00F53868"/>
    <w:rsid w:val="00F53BF2"/>
    <w:rsid w:val="00F53E3F"/>
    <w:rsid w:val="00F549AC"/>
    <w:rsid w:val="00F54A15"/>
    <w:rsid w:val="00F5504C"/>
    <w:rsid w:val="00F557A6"/>
    <w:rsid w:val="00F55BD3"/>
    <w:rsid w:val="00F55D6C"/>
    <w:rsid w:val="00F564AE"/>
    <w:rsid w:val="00F56679"/>
    <w:rsid w:val="00F56AE4"/>
    <w:rsid w:val="00F56DA0"/>
    <w:rsid w:val="00F56FBE"/>
    <w:rsid w:val="00F575B9"/>
    <w:rsid w:val="00F579AB"/>
    <w:rsid w:val="00F57EFF"/>
    <w:rsid w:val="00F57F4B"/>
    <w:rsid w:val="00F6039F"/>
    <w:rsid w:val="00F606C0"/>
    <w:rsid w:val="00F60979"/>
    <w:rsid w:val="00F609E8"/>
    <w:rsid w:val="00F6110A"/>
    <w:rsid w:val="00F61618"/>
    <w:rsid w:val="00F619D1"/>
    <w:rsid w:val="00F61A92"/>
    <w:rsid w:val="00F62042"/>
    <w:rsid w:val="00F622EB"/>
    <w:rsid w:val="00F624DD"/>
    <w:rsid w:val="00F62975"/>
    <w:rsid w:val="00F62A3C"/>
    <w:rsid w:val="00F62C02"/>
    <w:rsid w:val="00F62C11"/>
    <w:rsid w:val="00F62CB1"/>
    <w:rsid w:val="00F62D66"/>
    <w:rsid w:val="00F62F58"/>
    <w:rsid w:val="00F636B7"/>
    <w:rsid w:val="00F63D12"/>
    <w:rsid w:val="00F64271"/>
    <w:rsid w:val="00F6450E"/>
    <w:rsid w:val="00F65040"/>
    <w:rsid w:val="00F652C0"/>
    <w:rsid w:val="00F652F5"/>
    <w:rsid w:val="00F65B14"/>
    <w:rsid w:val="00F65CD9"/>
    <w:rsid w:val="00F65D76"/>
    <w:rsid w:val="00F66804"/>
    <w:rsid w:val="00F669E2"/>
    <w:rsid w:val="00F67A9C"/>
    <w:rsid w:val="00F67E8C"/>
    <w:rsid w:val="00F70D5B"/>
    <w:rsid w:val="00F721EC"/>
    <w:rsid w:val="00F728BF"/>
    <w:rsid w:val="00F7291C"/>
    <w:rsid w:val="00F72C58"/>
    <w:rsid w:val="00F730D2"/>
    <w:rsid w:val="00F73166"/>
    <w:rsid w:val="00F73848"/>
    <w:rsid w:val="00F73CC1"/>
    <w:rsid w:val="00F74275"/>
    <w:rsid w:val="00F74489"/>
    <w:rsid w:val="00F75443"/>
    <w:rsid w:val="00F754D7"/>
    <w:rsid w:val="00F75A99"/>
    <w:rsid w:val="00F75E8A"/>
    <w:rsid w:val="00F75F85"/>
    <w:rsid w:val="00F76529"/>
    <w:rsid w:val="00F76FFA"/>
    <w:rsid w:val="00F77836"/>
    <w:rsid w:val="00F77993"/>
    <w:rsid w:val="00F800BE"/>
    <w:rsid w:val="00F80163"/>
    <w:rsid w:val="00F8037F"/>
    <w:rsid w:val="00F803EC"/>
    <w:rsid w:val="00F8116C"/>
    <w:rsid w:val="00F81304"/>
    <w:rsid w:val="00F81446"/>
    <w:rsid w:val="00F814DD"/>
    <w:rsid w:val="00F818CD"/>
    <w:rsid w:val="00F81B0D"/>
    <w:rsid w:val="00F81CC6"/>
    <w:rsid w:val="00F821EE"/>
    <w:rsid w:val="00F822EC"/>
    <w:rsid w:val="00F8231A"/>
    <w:rsid w:val="00F82442"/>
    <w:rsid w:val="00F8296A"/>
    <w:rsid w:val="00F82FFE"/>
    <w:rsid w:val="00F832D9"/>
    <w:rsid w:val="00F837AD"/>
    <w:rsid w:val="00F8388E"/>
    <w:rsid w:val="00F8389D"/>
    <w:rsid w:val="00F83A9E"/>
    <w:rsid w:val="00F83C59"/>
    <w:rsid w:val="00F84032"/>
    <w:rsid w:val="00F84561"/>
    <w:rsid w:val="00F8496A"/>
    <w:rsid w:val="00F84D6A"/>
    <w:rsid w:val="00F85008"/>
    <w:rsid w:val="00F8579C"/>
    <w:rsid w:val="00F85E6E"/>
    <w:rsid w:val="00F85E90"/>
    <w:rsid w:val="00F86165"/>
    <w:rsid w:val="00F865A9"/>
    <w:rsid w:val="00F86B25"/>
    <w:rsid w:val="00F86CC5"/>
    <w:rsid w:val="00F873BF"/>
    <w:rsid w:val="00F877F5"/>
    <w:rsid w:val="00F90028"/>
    <w:rsid w:val="00F9106F"/>
    <w:rsid w:val="00F917DA"/>
    <w:rsid w:val="00F91809"/>
    <w:rsid w:val="00F91CFB"/>
    <w:rsid w:val="00F91DF5"/>
    <w:rsid w:val="00F91EF2"/>
    <w:rsid w:val="00F91F57"/>
    <w:rsid w:val="00F92DB2"/>
    <w:rsid w:val="00F92E5C"/>
    <w:rsid w:val="00F936E0"/>
    <w:rsid w:val="00F938B7"/>
    <w:rsid w:val="00F938BE"/>
    <w:rsid w:val="00F93BC4"/>
    <w:rsid w:val="00F93BE3"/>
    <w:rsid w:val="00F93D7E"/>
    <w:rsid w:val="00F93F08"/>
    <w:rsid w:val="00F93F21"/>
    <w:rsid w:val="00F940D4"/>
    <w:rsid w:val="00F94367"/>
    <w:rsid w:val="00F94476"/>
    <w:rsid w:val="00F94A58"/>
    <w:rsid w:val="00F94C93"/>
    <w:rsid w:val="00F95094"/>
    <w:rsid w:val="00F950A4"/>
    <w:rsid w:val="00F950C7"/>
    <w:rsid w:val="00F9523E"/>
    <w:rsid w:val="00F95597"/>
    <w:rsid w:val="00F95A4A"/>
    <w:rsid w:val="00F95CC9"/>
    <w:rsid w:val="00F964E5"/>
    <w:rsid w:val="00F977E4"/>
    <w:rsid w:val="00F9792D"/>
    <w:rsid w:val="00F97951"/>
    <w:rsid w:val="00F97E3F"/>
    <w:rsid w:val="00FA00A4"/>
    <w:rsid w:val="00FA00BB"/>
    <w:rsid w:val="00FA0596"/>
    <w:rsid w:val="00FA0D75"/>
    <w:rsid w:val="00FA0D7C"/>
    <w:rsid w:val="00FA0DAF"/>
    <w:rsid w:val="00FA1559"/>
    <w:rsid w:val="00FA156C"/>
    <w:rsid w:val="00FA1763"/>
    <w:rsid w:val="00FA1812"/>
    <w:rsid w:val="00FA1B8F"/>
    <w:rsid w:val="00FA1CF9"/>
    <w:rsid w:val="00FA1E38"/>
    <w:rsid w:val="00FA1F52"/>
    <w:rsid w:val="00FA22DF"/>
    <w:rsid w:val="00FA2614"/>
    <w:rsid w:val="00FA2C6A"/>
    <w:rsid w:val="00FA2E6C"/>
    <w:rsid w:val="00FA3C86"/>
    <w:rsid w:val="00FA443C"/>
    <w:rsid w:val="00FA47ED"/>
    <w:rsid w:val="00FA488C"/>
    <w:rsid w:val="00FA49C8"/>
    <w:rsid w:val="00FA4C4F"/>
    <w:rsid w:val="00FA5096"/>
    <w:rsid w:val="00FA50F1"/>
    <w:rsid w:val="00FA5517"/>
    <w:rsid w:val="00FA557C"/>
    <w:rsid w:val="00FA577F"/>
    <w:rsid w:val="00FA6520"/>
    <w:rsid w:val="00FA666A"/>
    <w:rsid w:val="00FA6726"/>
    <w:rsid w:val="00FA6C74"/>
    <w:rsid w:val="00FA7575"/>
    <w:rsid w:val="00FA75A8"/>
    <w:rsid w:val="00FA76A1"/>
    <w:rsid w:val="00FA7755"/>
    <w:rsid w:val="00FA7AAE"/>
    <w:rsid w:val="00FA7C57"/>
    <w:rsid w:val="00FA7E8C"/>
    <w:rsid w:val="00FB026D"/>
    <w:rsid w:val="00FB0A94"/>
    <w:rsid w:val="00FB0AB3"/>
    <w:rsid w:val="00FB0CAB"/>
    <w:rsid w:val="00FB16F2"/>
    <w:rsid w:val="00FB1B5D"/>
    <w:rsid w:val="00FB1DF7"/>
    <w:rsid w:val="00FB1E4F"/>
    <w:rsid w:val="00FB1E9B"/>
    <w:rsid w:val="00FB1ECD"/>
    <w:rsid w:val="00FB202A"/>
    <w:rsid w:val="00FB2188"/>
    <w:rsid w:val="00FB23D0"/>
    <w:rsid w:val="00FB23DA"/>
    <w:rsid w:val="00FB2665"/>
    <w:rsid w:val="00FB293B"/>
    <w:rsid w:val="00FB29EA"/>
    <w:rsid w:val="00FB29FD"/>
    <w:rsid w:val="00FB2CDE"/>
    <w:rsid w:val="00FB33F4"/>
    <w:rsid w:val="00FB3F43"/>
    <w:rsid w:val="00FB4044"/>
    <w:rsid w:val="00FB405D"/>
    <w:rsid w:val="00FB42A4"/>
    <w:rsid w:val="00FB445D"/>
    <w:rsid w:val="00FB4949"/>
    <w:rsid w:val="00FB4AFB"/>
    <w:rsid w:val="00FB4C6C"/>
    <w:rsid w:val="00FB4FE3"/>
    <w:rsid w:val="00FB54A2"/>
    <w:rsid w:val="00FB5848"/>
    <w:rsid w:val="00FB5862"/>
    <w:rsid w:val="00FB5BEC"/>
    <w:rsid w:val="00FB63C8"/>
    <w:rsid w:val="00FB63FA"/>
    <w:rsid w:val="00FB67B9"/>
    <w:rsid w:val="00FB6B5A"/>
    <w:rsid w:val="00FB6B8B"/>
    <w:rsid w:val="00FB6E9A"/>
    <w:rsid w:val="00FB72E0"/>
    <w:rsid w:val="00FB7508"/>
    <w:rsid w:val="00FB7680"/>
    <w:rsid w:val="00FB78C5"/>
    <w:rsid w:val="00FC0787"/>
    <w:rsid w:val="00FC09EE"/>
    <w:rsid w:val="00FC0A53"/>
    <w:rsid w:val="00FC0AD2"/>
    <w:rsid w:val="00FC0D10"/>
    <w:rsid w:val="00FC1230"/>
    <w:rsid w:val="00FC13D2"/>
    <w:rsid w:val="00FC13E3"/>
    <w:rsid w:val="00FC154D"/>
    <w:rsid w:val="00FC1821"/>
    <w:rsid w:val="00FC1912"/>
    <w:rsid w:val="00FC208B"/>
    <w:rsid w:val="00FC25AC"/>
    <w:rsid w:val="00FC25B8"/>
    <w:rsid w:val="00FC26B3"/>
    <w:rsid w:val="00FC2B0C"/>
    <w:rsid w:val="00FC30EC"/>
    <w:rsid w:val="00FC338E"/>
    <w:rsid w:val="00FC3437"/>
    <w:rsid w:val="00FC3698"/>
    <w:rsid w:val="00FC3768"/>
    <w:rsid w:val="00FC384E"/>
    <w:rsid w:val="00FC3D2B"/>
    <w:rsid w:val="00FC3E1F"/>
    <w:rsid w:val="00FC4C40"/>
    <w:rsid w:val="00FC4C62"/>
    <w:rsid w:val="00FC4EE3"/>
    <w:rsid w:val="00FC4F5C"/>
    <w:rsid w:val="00FC511A"/>
    <w:rsid w:val="00FC5273"/>
    <w:rsid w:val="00FC54C0"/>
    <w:rsid w:val="00FC55DB"/>
    <w:rsid w:val="00FC5920"/>
    <w:rsid w:val="00FC5EB3"/>
    <w:rsid w:val="00FC5EDE"/>
    <w:rsid w:val="00FC60A4"/>
    <w:rsid w:val="00FC60FE"/>
    <w:rsid w:val="00FC6BAB"/>
    <w:rsid w:val="00FC6C3D"/>
    <w:rsid w:val="00FC6D41"/>
    <w:rsid w:val="00FC6E15"/>
    <w:rsid w:val="00FC7533"/>
    <w:rsid w:val="00FC782C"/>
    <w:rsid w:val="00FD03CB"/>
    <w:rsid w:val="00FD047A"/>
    <w:rsid w:val="00FD083A"/>
    <w:rsid w:val="00FD0B30"/>
    <w:rsid w:val="00FD0B9D"/>
    <w:rsid w:val="00FD0E43"/>
    <w:rsid w:val="00FD0FF4"/>
    <w:rsid w:val="00FD1170"/>
    <w:rsid w:val="00FD1375"/>
    <w:rsid w:val="00FD23B3"/>
    <w:rsid w:val="00FD2555"/>
    <w:rsid w:val="00FD270A"/>
    <w:rsid w:val="00FD306B"/>
    <w:rsid w:val="00FD3106"/>
    <w:rsid w:val="00FD3628"/>
    <w:rsid w:val="00FD3642"/>
    <w:rsid w:val="00FD3AB8"/>
    <w:rsid w:val="00FD3F12"/>
    <w:rsid w:val="00FD4027"/>
    <w:rsid w:val="00FD4180"/>
    <w:rsid w:val="00FD421E"/>
    <w:rsid w:val="00FD4365"/>
    <w:rsid w:val="00FD4A5C"/>
    <w:rsid w:val="00FD4E64"/>
    <w:rsid w:val="00FD5054"/>
    <w:rsid w:val="00FD50B7"/>
    <w:rsid w:val="00FD544D"/>
    <w:rsid w:val="00FD5756"/>
    <w:rsid w:val="00FD5B8E"/>
    <w:rsid w:val="00FD5B95"/>
    <w:rsid w:val="00FD5EF7"/>
    <w:rsid w:val="00FD61BC"/>
    <w:rsid w:val="00FD6DEE"/>
    <w:rsid w:val="00FD72C4"/>
    <w:rsid w:val="00FD74C3"/>
    <w:rsid w:val="00FD7635"/>
    <w:rsid w:val="00FD7685"/>
    <w:rsid w:val="00FE0060"/>
    <w:rsid w:val="00FE016B"/>
    <w:rsid w:val="00FE0C38"/>
    <w:rsid w:val="00FE10C2"/>
    <w:rsid w:val="00FE1599"/>
    <w:rsid w:val="00FE1783"/>
    <w:rsid w:val="00FE1AD7"/>
    <w:rsid w:val="00FE1D70"/>
    <w:rsid w:val="00FE1EB8"/>
    <w:rsid w:val="00FE1FE4"/>
    <w:rsid w:val="00FE215A"/>
    <w:rsid w:val="00FE2175"/>
    <w:rsid w:val="00FE23C6"/>
    <w:rsid w:val="00FE2980"/>
    <w:rsid w:val="00FE2B7C"/>
    <w:rsid w:val="00FE3B85"/>
    <w:rsid w:val="00FE3CAF"/>
    <w:rsid w:val="00FE3CEF"/>
    <w:rsid w:val="00FE3D1B"/>
    <w:rsid w:val="00FE3F58"/>
    <w:rsid w:val="00FE4101"/>
    <w:rsid w:val="00FE411C"/>
    <w:rsid w:val="00FE4473"/>
    <w:rsid w:val="00FE4669"/>
    <w:rsid w:val="00FE4CB9"/>
    <w:rsid w:val="00FE5152"/>
    <w:rsid w:val="00FE5332"/>
    <w:rsid w:val="00FE551A"/>
    <w:rsid w:val="00FE5963"/>
    <w:rsid w:val="00FE5F92"/>
    <w:rsid w:val="00FE62B6"/>
    <w:rsid w:val="00FE64AA"/>
    <w:rsid w:val="00FE6AC0"/>
    <w:rsid w:val="00FE6B34"/>
    <w:rsid w:val="00FE718C"/>
    <w:rsid w:val="00FE74DF"/>
    <w:rsid w:val="00FE766E"/>
    <w:rsid w:val="00FE775B"/>
    <w:rsid w:val="00FF0008"/>
    <w:rsid w:val="00FF058A"/>
    <w:rsid w:val="00FF06E8"/>
    <w:rsid w:val="00FF0755"/>
    <w:rsid w:val="00FF07D7"/>
    <w:rsid w:val="00FF0B0A"/>
    <w:rsid w:val="00FF0BB9"/>
    <w:rsid w:val="00FF108D"/>
    <w:rsid w:val="00FF113B"/>
    <w:rsid w:val="00FF1A9A"/>
    <w:rsid w:val="00FF1BDC"/>
    <w:rsid w:val="00FF1CBE"/>
    <w:rsid w:val="00FF1FD7"/>
    <w:rsid w:val="00FF21D3"/>
    <w:rsid w:val="00FF257E"/>
    <w:rsid w:val="00FF305E"/>
    <w:rsid w:val="00FF34D9"/>
    <w:rsid w:val="00FF38CF"/>
    <w:rsid w:val="00FF3FAE"/>
    <w:rsid w:val="00FF443C"/>
    <w:rsid w:val="00FF4749"/>
    <w:rsid w:val="00FF4BAE"/>
    <w:rsid w:val="00FF4C7C"/>
    <w:rsid w:val="00FF4DA9"/>
    <w:rsid w:val="00FF4F93"/>
    <w:rsid w:val="00FF55CF"/>
    <w:rsid w:val="00FF5731"/>
    <w:rsid w:val="00FF575C"/>
    <w:rsid w:val="00FF5F39"/>
    <w:rsid w:val="00FF61B4"/>
    <w:rsid w:val="00FF638C"/>
    <w:rsid w:val="00FF721B"/>
    <w:rsid w:val="00FF79DE"/>
    <w:rsid w:val="00FF7AE3"/>
    <w:rsid w:val="090507DD"/>
    <w:rsid w:val="09B64FA6"/>
    <w:rsid w:val="26105128"/>
    <w:rsid w:val="2E6123A8"/>
    <w:rsid w:val="36E07564"/>
    <w:rsid w:val="39584806"/>
    <w:rsid w:val="3DFE250A"/>
    <w:rsid w:val="428D626C"/>
    <w:rsid w:val="504D67D8"/>
    <w:rsid w:val="518B11A4"/>
    <w:rsid w:val="548E78B5"/>
    <w:rsid w:val="5B307618"/>
    <w:rsid w:val="60697C0D"/>
    <w:rsid w:val="63360B5E"/>
    <w:rsid w:val="70750B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qFormat="1" w:unhideWhenUsed="0" w:uiPriority="0" w:semiHidden="0" w:name="macro"/>
    <w:lsdException w:qFormat="1" w:unhideWhenUsed="0"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50"/>
    <w:qFormat/>
    <w:uiPriority w:val="0"/>
    <w:pPr>
      <w:keepNext/>
      <w:jc w:val="center"/>
      <w:outlineLvl w:val="0"/>
    </w:pPr>
    <w:rPr>
      <w:rFonts w:eastAsia="黑体"/>
      <w:sz w:val="32"/>
    </w:rPr>
  </w:style>
  <w:style w:type="paragraph" w:styleId="4">
    <w:name w:val="heading 2"/>
    <w:basedOn w:val="1"/>
    <w:next w:val="1"/>
    <w:link w:val="51"/>
    <w:qFormat/>
    <w:uiPriority w:val="0"/>
    <w:pPr>
      <w:keepNext/>
      <w:keepLines/>
      <w:spacing w:before="260" w:after="260" w:line="416" w:lineRule="auto"/>
      <w:outlineLvl w:val="1"/>
    </w:pPr>
    <w:rPr>
      <w:rFonts w:ascii="Arial" w:hAnsi="Arial" w:eastAsia="楷体_GB2312"/>
      <w:bCs/>
      <w:sz w:val="32"/>
      <w:szCs w:val="32"/>
    </w:rPr>
  </w:style>
  <w:style w:type="paragraph" w:styleId="5">
    <w:name w:val="heading 3"/>
    <w:basedOn w:val="1"/>
    <w:next w:val="1"/>
    <w:link w:val="52"/>
    <w:qFormat/>
    <w:uiPriority w:val="0"/>
    <w:pPr>
      <w:keepNext/>
      <w:keepLines/>
      <w:spacing w:before="260" w:after="260" w:line="416" w:lineRule="auto"/>
      <w:outlineLvl w:val="2"/>
    </w:pPr>
    <w:rPr>
      <w:b/>
      <w:bCs/>
      <w:sz w:val="32"/>
      <w:szCs w:val="32"/>
    </w:rPr>
  </w:style>
  <w:style w:type="paragraph" w:styleId="6">
    <w:name w:val="heading 4"/>
    <w:basedOn w:val="1"/>
    <w:next w:val="1"/>
    <w:link w:val="53"/>
    <w:qFormat/>
    <w:uiPriority w:val="0"/>
    <w:pPr>
      <w:keepNext/>
      <w:keepLines/>
      <w:spacing w:before="280" w:after="290" w:line="376" w:lineRule="auto"/>
      <w:outlineLvl w:val="3"/>
    </w:pPr>
    <w:rPr>
      <w:rFonts w:ascii="Arial" w:hAnsi="Arial" w:eastAsia="黑体"/>
      <w:b/>
      <w:bCs/>
      <w:sz w:val="28"/>
      <w:szCs w:val="28"/>
    </w:rPr>
  </w:style>
  <w:style w:type="paragraph" w:styleId="7">
    <w:name w:val="heading 5"/>
    <w:basedOn w:val="1"/>
    <w:next w:val="1"/>
    <w:link w:val="54"/>
    <w:qFormat/>
    <w:uiPriority w:val="0"/>
    <w:pPr>
      <w:keepNext/>
      <w:keepLines/>
      <w:spacing w:before="280" w:after="290" w:line="376" w:lineRule="auto"/>
      <w:outlineLvl w:val="4"/>
    </w:pPr>
    <w:rPr>
      <w:b/>
      <w:bCs/>
      <w:sz w:val="28"/>
      <w:szCs w:val="28"/>
    </w:rPr>
  </w:style>
  <w:style w:type="paragraph" w:styleId="8">
    <w:name w:val="heading 6"/>
    <w:basedOn w:val="1"/>
    <w:next w:val="1"/>
    <w:link w:val="55"/>
    <w:qFormat/>
    <w:uiPriority w:val="0"/>
    <w:pPr>
      <w:keepNext/>
      <w:keepLines/>
      <w:adjustRightInd w:val="0"/>
      <w:spacing w:before="240" w:after="64" w:line="320" w:lineRule="atLeast"/>
      <w:jc w:val="left"/>
      <w:textAlignment w:val="baseline"/>
      <w:outlineLvl w:val="5"/>
    </w:pPr>
    <w:rPr>
      <w:rFonts w:ascii="Arial" w:hAnsi="Arial" w:eastAsia="黑体"/>
      <w:b/>
      <w:kern w:val="0"/>
      <w:sz w:val="24"/>
      <w:szCs w:val="20"/>
    </w:rPr>
  </w:style>
  <w:style w:type="paragraph" w:styleId="9">
    <w:name w:val="heading 7"/>
    <w:basedOn w:val="1"/>
    <w:next w:val="1"/>
    <w:link w:val="56"/>
    <w:qFormat/>
    <w:uiPriority w:val="0"/>
    <w:pPr>
      <w:keepNext/>
      <w:keepLines/>
      <w:spacing w:before="240" w:after="64" w:line="320" w:lineRule="auto"/>
      <w:outlineLvl w:val="6"/>
    </w:pPr>
    <w:rPr>
      <w:b/>
      <w:bCs/>
      <w:sz w:val="24"/>
    </w:rPr>
  </w:style>
  <w:style w:type="paragraph" w:styleId="10">
    <w:name w:val="heading 8"/>
    <w:basedOn w:val="1"/>
    <w:next w:val="1"/>
    <w:link w:val="57"/>
    <w:qFormat/>
    <w:uiPriority w:val="0"/>
    <w:pPr>
      <w:keepNext/>
      <w:keepLines/>
      <w:adjustRightInd w:val="0"/>
      <w:spacing w:before="240" w:after="64" w:line="320" w:lineRule="atLeast"/>
      <w:jc w:val="left"/>
      <w:textAlignment w:val="baseline"/>
      <w:outlineLvl w:val="7"/>
    </w:pPr>
    <w:rPr>
      <w:rFonts w:ascii="Arial" w:hAnsi="Arial" w:eastAsia="黑体"/>
      <w:kern w:val="0"/>
      <w:sz w:val="24"/>
      <w:szCs w:val="20"/>
    </w:rPr>
  </w:style>
  <w:style w:type="paragraph" w:styleId="11">
    <w:name w:val="heading 9"/>
    <w:basedOn w:val="1"/>
    <w:next w:val="1"/>
    <w:link w:val="58"/>
    <w:qFormat/>
    <w:uiPriority w:val="0"/>
    <w:pPr>
      <w:keepNext/>
      <w:keepLines/>
      <w:adjustRightInd w:val="0"/>
      <w:spacing w:before="240" w:after="64" w:line="320" w:lineRule="atLeast"/>
      <w:jc w:val="left"/>
      <w:textAlignment w:val="baseline"/>
      <w:outlineLvl w:val="8"/>
    </w:pPr>
    <w:rPr>
      <w:rFonts w:ascii="Arial" w:hAnsi="Arial" w:eastAsia="黑体"/>
      <w:kern w:val="0"/>
      <w:sz w:val="24"/>
      <w:szCs w:val="20"/>
    </w:rPr>
  </w:style>
  <w:style w:type="character" w:default="1" w:styleId="43">
    <w:name w:val="Default Paragraph Font"/>
    <w:semiHidden/>
    <w:unhideWhenUsed/>
    <w:qFormat/>
    <w:uiPriority w:val="1"/>
  </w:style>
  <w:style w:type="table" w:default="1" w:styleId="41">
    <w:name w:val="Normal Table"/>
    <w:semiHidden/>
    <w:unhideWhenUsed/>
    <w:qFormat/>
    <w:uiPriority w:val="99"/>
    <w:tblPr>
      <w:tblCellMar>
        <w:top w:w="0" w:type="dxa"/>
        <w:left w:w="108" w:type="dxa"/>
        <w:bottom w:w="0" w:type="dxa"/>
        <w:right w:w="108" w:type="dxa"/>
      </w:tblCellMar>
    </w:tblPr>
  </w:style>
  <w:style w:type="paragraph" w:styleId="2">
    <w:name w:val="macro"/>
    <w:link w:val="49"/>
    <w:qFormat/>
    <w:uiPriority w:val="0"/>
    <w:pPr>
      <w:widowControl w:val="0"/>
      <w:tabs>
        <w:tab w:val="left" w:pos="480"/>
        <w:tab w:val="left" w:pos="960"/>
        <w:tab w:val="left" w:pos="1440"/>
        <w:tab w:val="left" w:pos="1920"/>
        <w:tab w:val="left" w:pos="2400"/>
        <w:tab w:val="left" w:pos="2880"/>
        <w:tab w:val="left" w:pos="3360"/>
        <w:tab w:val="left" w:pos="3840"/>
        <w:tab w:val="left" w:pos="4320"/>
      </w:tabs>
      <w:kinsoku w:val="0"/>
      <w:overflowPunct w:val="0"/>
      <w:autoSpaceDE w:val="0"/>
      <w:autoSpaceDN w:val="0"/>
      <w:snapToGrid w:val="0"/>
    </w:pPr>
    <w:rPr>
      <w:rFonts w:ascii="Courier New" w:hAnsi="Courier New" w:eastAsia="宋体" w:cs="Courier New"/>
      <w:kern w:val="2"/>
      <w:sz w:val="24"/>
      <w:szCs w:val="24"/>
      <w:lang w:val="en-US" w:eastAsia="zh-CN" w:bidi="ar-SA"/>
    </w:rPr>
  </w:style>
  <w:style w:type="paragraph" w:styleId="12">
    <w:name w:val="toc 7"/>
    <w:basedOn w:val="1"/>
    <w:next w:val="1"/>
    <w:qFormat/>
    <w:uiPriority w:val="39"/>
    <w:pPr>
      <w:ind w:left="1260"/>
      <w:jc w:val="left"/>
    </w:pPr>
    <w:rPr>
      <w:sz w:val="18"/>
      <w:szCs w:val="18"/>
    </w:rPr>
  </w:style>
  <w:style w:type="paragraph" w:styleId="13">
    <w:name w:val="Normal Indent"/>
    <w:basedOn w:val="1"/>
    <w:qFormat/>
    <w:uiPriority w:val="0"/>
    <w:pPr>
      <w:adjustRightInd w:val="0"/>
      <w:spacing w:line="360" w:lineRule="atLeast"/>
      <w:ind w:firstLine="420"/>
      <w:jc w:val="left"/>
    </w:pPr>
    <w:rPr>
      <w:rFonts w:hint="eastAsia" w:ascii="仿宋体"/>
      <w:kern w:val="0"/>
      <w:sz w:val="28"/>
      <w:szCs w:val="20"/>
    </w:rPr>
  </w:style>
  <w:style w:type="paragraph" w:styleId="14">
    <w:name w:val="Document Map"/>
    <w:basedOn w:val="1"/>
    <w:qFormat/>
    <w:uiPriority w:val="0"/>
    <w:pPr>
      <w:shd w:val="clear" w:color="auto" w:fill="000080"/>
    </w:pPr>
  </w:style>
  <w:style w:type="paragraph" w:styleId="15">
    <w:name w:val="toa heading"/>
    <w:basedOn w:val="1"/>
    <w:next w:val="1"/>
    <w:semiHidden/>
    <w:qFormat/>
    <w:uiPriority w:val="0"/>
    <w:pPr>
      <w:spacing w:before="120"/>
    </w:pPr>
    <w:rPr>
      <w:rFonts w:ascii="Arial" w:hAnsi="Arial" w:cs="Arial"/>
      <w:sz w:val="24"/>
    </w:rPr>
  </w:style>
  <w:style w:type="paragraph" w:styleId="16">
    <w:name w:val="annotation text"/>
    <w:basedOn w:val="1"/>
    <w:link w:val="59"/>
    <w:qFormat/>
    <w:uiPriority w:val="0"/>
    <w:pPr>
      <w:jc w:val="left"/>
    </w:pPr>
  </w:style>
  <w:style w:type="paragraph" w:styleId="17">
    <w:name w:val="Body Text 3"/>
    <w:basedOn w:val="1"/>
    <w:link w:val="60"/>
    <w:qFormat/>
    <w:uiPriority w:val="0"/>
    <w:pPr>
      <w:spacing w:line="360" w:lineRule="exact"/>
    </w:pPr>
    <w:rPr>
      <w:sz w:val="24"/>
    </w:rPr>
  </w:style>
  <w:style w:type="paragraph" w:styleId="18">
    <w:name w:val="Body Text"/>
    <w:basedOn w:val="1"/>
    <w:qFormat/>
    <w:uiPriority w:val="0"/>
    <w:pPr>
      <w:spacing w:line="560" w:lineRule="exact"/>
    </w:pPr>
    <w:rPr>
      <w:sz w:val="28"/>
    </w:rPr>
  </w:style>
  <w:style w:type="paragraph" w:styleId="19">
    <w:name w:val="Body Text Indent"/>
    <w:basedOn w:val="1"/>
    <w:link w:val="61"/>
    <w:qFormat/>
    <w:uiPriority w:val="0"/>
    <w:pPr>
      <w:ind w:firstLine="560" w:firstLineChars="200"/>
      <w:jc w:val="left"/>
    </w:pPr>
    <w:rPr>
      <w:rFonts w:ascii="宋体" w:hAnsi="宋体"/>
      <w:sz w:val="28"/>
    </w:rPr>
  </w:style>
  <w:style w:type="paragraph" w:styleId="20">
    <w:name w:val="toc 5"/>
    <w:basedOn w:val="1"/>
    <w:next w:val="1"/>
    <w:qFormat/>
    <w:uiPriority w:val="39"/>
    <w:pPr>
      <w:ind w:left="840"/>
      <w:jc w:val="left"/>
    </w:pPr>
    <w:rPr>
      <w:sz w:val="18"/>
      <w:szCs w:val="18"/>
    </w:rPr>
  </w:style>
  <w:style w:type="paragraph" w:styleId="21">
    <w:name w:val="toc 3"/>
    <w:basedOn w:val="1"/>
    <w:next w:val="1"/>
    <w:qFormat/>
    <w:uiPriority w:val="39"/>
    <w:pPr>
      <w:ind w:left="420"/>
      <w:jc w:val="left"/>
    </w:pPr>
    <w:rPr>
      <w:i/>
      <w:iCs/>
      <w:sz w:val="20"/>
      <w:szCs w:val="20"/>
    </w:rPr>
  </w:style>
  <w:style w:type="paragraph" w:styleId="22">
    <w:name w:val="Plain Text"/>
    <w:basedOn w:val="1"/>
    <w:link w:val="62"/>
    <w:qFormat/>
    <w:uiPriority w:val="0"/>
    <w:rPr>
      <w:rFonts w:ascii="宋体" w:hAnsi="Courier New"/>
      <w:szCs w:val="21"/>
    </w:rPr>
  </w:style>
  <w:style w:type="paragraph" w:styleId="23">
    <w:name w:val="toc 8"/>
    <w:basedOn w:val="1"/>
    <w:next w:val="1"/>
    <w:qFormat/>
    <w:uiPriority w:val="39"/>
    <w:pPr>
      <w:ind w:left="1470"/>
      <w:jc w:val="left"/>
    </w:pPr>
    <w:rPr>
      <w:sz w:val="18"/>
      <w:szCs w:val="18"/>
    </w:rPr>
  </w:style>
  <w:style w:type="paragraph" w:styleId="24">
    <w:name w:val="Date"/>
    <w:basedOn w:val="1"/>
    <w:next w:val="1"/>
    <w:link w:val="63"/>
    <w:qFormat/>
    <w:uiPriority w:val="0"/>
    <w:pPr>
      <w:ind w:left="100" w:leftChars="2500"/>
    </w:pPr>
  </w:style>
  <w:style w:type="paragraph" w:styleId="25">
    <w:name w:val="Body Text Indent 2"/>
    <w:basedOn w:val="1"/>
    <w:link w:val="64"/>
    <w:qFormat/>
    <w:uiPriority w:val="0"/>
    <w:pPr>
      <w:spacing w:line="540" w:lineRule="exact"/>
      <w:ind w:firstLine="560" w:firstLineChars="200"/>
    </w:pPr>
    <w:rPr>
      <w:rFonts w:ascii="宋体" w:hAnsi="宋体"/>
      <w:sz w:val="28"/>
    </w:rPr>
  </w:style>
  <w:style w:type="paragraph" w:styleId="26">
    <w:name w:val="Balloon Text"/>
    <w:basedOn w:val="1"/>
    <w:semiHidden/>
    <w:qFormat/>
    <w:uiPriority w:val="0"/>
    <w:rPr>
      <w:sz w:val="18"/>
      <w:szCs w:val="18"/>
    </w:rPr>
  </w:style>
  <w:style w:type="paragraph" w:styleId="27">
    <w:name w:val="footer"/>
    <w:basedOn w:val="1"/>
    <w:link w:val="65"/>
    <w:qFormat/>
    <w:uiPriority w:val="99"/>
    <w:pPr>
      <w:tabs>
        <w:tab w:val="center" w:pos="4153"/>
        <w:tab w:val="right" w:pos="8306"/>
      </w:tabs>
      <w:snapToGrid w:val="0"/>
      <w:jc w:val="left"/>
    </w:pPr>
    <w:rPr>
      <w:sz w:val="18"/>
      <w:szCs w:val="18"/>
    </w:rPr>
  </w:style>
  <w:style w:type="paragraph" w:styleId="28">
    <w:name w:val="header"/>
    <w:basedOn w:val="1"/>
    <w:link w:val="66"/>
    <w:qFormat/>
    <w:uiPriority w:val="0"/>
    <w:pPr>
      <w:tabs>
        <w:tab w:val="center" w:pos="3150"/>
        <w:tab w:val="center" w:pos="4153"/>
        <w:tab w:val="right" w:pos="8306"/>
      </w:tabs>
      <w:snapToGrid w:val="0"/>
      <w:spacing w:line="100" w:lineRule="atLeast"/>
      <w:jc w:val="center"/>
    </w:pPr>
    <w:rPr>
      <w:sz w:val="18"/>
      <w:szCs w:val="18"/>
    </w:rPr>
  </w:style>
  <w:style w:type="paragraph" w:styleId="29">
    <w:name w:val="toc 1"/>
    <w:basedOn w:val="1"/>
    <w:next w:val="1"/>
    <w:qFormat/>
    <w:uiPriority w:val="39"/>
    <w:pPr>
      <w:tabs>
        <w:tab w:val="right" w:leader="dot" w:pos="9174"/>
      </w:tabs>
      <w:spacing w:before="120" w:after="120" w:line="500" w:lineRule="exact"/>
      <w:jc w:val="left"/>
    </w:pPr>
    <w:rPr>
      <w:rFonts w:ascii="楷体_GB2312" w:hAnsi="宋体" w:eastAsia="楷体_GB2312"/>
      <w:bCs/>
      <w:caps/>
      <w:sz w:val="24"/>
    </w:rPr>
  </w:style>
  <w:style w:type="paragraph" w:styleId="30">
    <w:name w:val="toc 4"/>
    <w:basedOn w:val="1"/>
    <w:next w:val="1"/>
    <w:qFormat/>
    <w:uiPriority w:val="39"/>
    <w:pPr>
      <w:ind w:left="630"/>
      <w:jc w:val="left"/>
    </w:pPr>
    <w:rPr>
      <w:sz w:val="18"/>
      <w:szCs w:val="18"/>
    </w:rPr>
  </w:style>
  <w:style w:type="paragraph" w:styleId="31">
    <w:name w:val="toc 6"/>
    <w:basedOn w:val="1"/>
    <w:next w:val="1"/>
    <w:qFormat/>
    <w:uiPriority w:val="39"/>
    <w:pPr>
      <w:ind w:left="1050"/>
      <w:jc w:val="left"/>
    </w:pPr>
    <w:rPr>
      <w:sz w:val="18"/>
      <w:szCs w:val="18"/>
    </w:rPr>
  </w:style>
  <w:style w:type="paragraph" w:styleId="32">
    <w:name w:val="Body Text Indent 3"/>
    <w:basedOn w:val="1"/>
    <w:link w:val="67"/>
    <w:qFormat/>
    <w:uiPriority w:val="0"/>
    <w:pPr>
      <w:spacing w:line="400" w:lineRule="exact"/>
      <w:ind w:firstLine="420" w:firstLineChars="200"/>
    </w:pPr>
    <w:rPr>
      <w:rFonts w:ascii="宋体" w:hAnsi="宋体"/>
    </w:rPr>
  </w:style>
  <w:style w:type="paragraph" w:styleId="33">
    <w:name w:val="toc 2"/>
    <w:basedOn w:val="1"/>
    <w:next w:val="1"/>
    <w:qFormat/>
    <w:uiPriority w:val="39"/>
    <w:pPr>
      <w:ind w:left="210"/>
      <w:jc w:val="left"/>
    </w:pPr>
    <w:rPr>
      <w:smallCaps/>
      <w:sz w:val="20"/>
      <w:szCs w:val="20"/>
    </w:rPr>
  </w:style>
  <w:style w:type="paragraph" w:styleId="34">
    <w:name w:val="toc 9"/>
    <w:basedOn w:val="1"/>
    <w:next w:val="1"/>
    <w:qFormat/>
    <w:uiPriority w:val="39"/>
    <w:pPr>
      <w:ind w:left="1680"/>
      <w:jc w:val="left"/>
    </w:pPr>
    <w:rPr>
      <w:sz w:val="18"/>
      <w:szCs w:val="18"/>
    </w:rPr>
  </w:style>
  <w:style w:type="paragraph" w:styleId="35">
    <w:name w:val="Body Text 2"/>
    <w:basedOn w:val="1"/>
    <w:link w:val="68"/>
    <w:qFormat/>
    <w:uiPriority w:val="0"/>
    <w:rPr>
      <w:b/>
      <w:bCs/>
      <w:sz w:val="28"/>
    </w:rPr>
  </w:style>
  <w:style w:type="paragraph" w:styleId="36">
    <w:name w:val="HTML Preformatted"/>
    <w:basedOn w:val="1"/>
    <w:link w:val="6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kern w:val="0"/>
      <w:sz w:val="20"/>
      <w:szCs w:val="20"/>
    </w:rPr>
  </w:style>
  <w:style w:type="paragraph" w:styleId="37">
    <w:name w:val="Normal (Web)"/>
    <w:basedOn w:val="1"/>
    <w:qFormat/>
    <w:uiPriority w:val="0"/>
    <w:pPr>
      <w:widowControl/>
      <w:spacing w:before="100" w:beforeAutospacing="1" w:after="100" w:afterAutospacing="1"/>
      <w:jc w:val="left"/>
    </w:pPr>
    <w:rPr>
      <w:rFonts w:ascii="宋体" w:hAnsi="宋体"/>
      <w:kern w:val="0"/>
      <w:sz w:val="24"/>
    </w:rPr>
  </w:style>
  <w:style w:type="paragraph" w:styleId="38">
    <w:name w:val="Title"/>
    <w:basedOn w:val="1"/>
    <w:qFormat/>
    <w:uiPriority w:val="0"/>
    <w:pPr>
      <w:spacing w:before="240" w:after="60"/>
      <w:jc w:val="center"/>
      <w:outlineLvl w:val="0"/>
    </w:pPr>
    <w:rPr>
      <w:rFonts w:ascii="Arial" w:hAnsi="Arial" w:eastAsia="黑体" w:cs="Arial"/>
      <w:b/>
      <w:bCs/>
      <w:sz w:val="44"/>
      <w:szCs w:val="32"/>
    </w:rPr>
  </w:style>
  <w:style w:type="paragraph" w:styleId="39">
    <w:name w:val="annotation subject"/>
    <w:basedOn w:val="16"/>
    <w:next w:val="16"/>
    <w:link w:val="70"/>
    <w:qFormat/>
    <w:uiPriority w:val="0"/>
    <w:rPr>
      <w:b/>
      <w:bCs/>
    </w:rPr>
  </w:style>
  <w:style w:type="paragraph" w:styleId="40">
    <w:name w:val="Body Text First Indent"/>
    <w:basedOn w:val="18"/>
    <w:qFormat/>
    <w:uiPriority w:val="0"/>
    <w:pPr>
      <w:spacing w:after="120" w:line="240" w:lineRule="auto"/>
      <w:ind w:firstLine="420" w:firstLineChars="100"/>
    </w:pPr>
    <w:rPr>
      <w:sz w:val="21"/>
    </w:rPr>
  </w:style>
  <w:style w:type="table" w:styleId="42">
    <w:name w:val="Table Grid"/>
    <w:basedOn w:val="41"/>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4">
    <w:name w:val="Strong"/>
    <w:qFormat/>
    <w:uiPriority w:val="22"/>
    <w:rPr>
      <w:b/>
      <w:bCs/>
    </w:rPr>
  </w:style>
  <w:style w:type="character" w:styleId="45">
    <w:name w:val="page number"/>
    <w:qFormat/>
    <w:uiPriority w:val="0"/>
  </w:style>
  <w:style w:type="character" w:styleId="46">
    <w:name w:val="FollowedHyperlink"/>
    <w:qFormat/>
    <w:uiPriority w:val="0"/>
    <w:rPr>
      <w:color w:val="800080"/>
      <w:u w:val="single"/>
    </w:rPr>
  </w:style>
  <w:style w:type="character" w:styleId="47">
    <w:name w:val="Hyperlink"/>
    <w:qFormat/>
    <w:uiPriority w:val="99"/>
    <w:rPr>
      <w:color w:val="0000FF"/>
      <w:u w:val="single"/>
    </w:rPr>
  </w:style>
  <w:style w:type="character" w:styleId="48">
    <w:name w:val="annotation reference"/>
    <w:qFormat/>
    <w:uiPriority w:val="0"/>
    <w:rPr>
      <w:sz w:val="21"/>
      <w:szCs w:val="21"/>
    </w:rPr>
  </w:style>
  <w:style w:type="character" w:customStyle="1" w:styleId="49">
    <w:name w:val="宏文本 字符"/>
    <w:link w:val="2"/>
    <w:qFormat/>
    <w:uiPriority w:val="0"/>
    <w:rPr>
      <w:rFonts w:ascii="Courier New" w:hAnsi="Courier New" w:cs="Courier New"/>
      <w:kern w:val="2"/>
      <w:sz w:val="24"/>
      <w:szCs w:val="24"/>
      <w:lang w:val="en-US" w:eastAsia="zh-CN" w:bidi="ar-SA"/>
    </w:rPr>
  </w:style>
  <w:style w:type="character" w:customStyle="1" w:styleId="50">
    <w:name w:val="标题 1 字符"/>
    <w:link w:val="3"/>
    <w:qFormat/>
    <w:uiPriority w:val="0"/>
    <w:rPr>
      <w:rFonts w:eastAsia="黑体"/>
      <w:kern w:val="2"/>
      <w:sz w:val="32"/>
      <w:szCs w:val="24"/>
    </w:rPr>
  </w:style>
  <w:style w:type="character" w:customStyle="1" w:styleId="51">
    <w:name w:val="标题 2 字符"/>
    <w:link w:val="4"/>
    <w:qFormat/>
    <w:uiPriority w:val="0"/>
    <w:rPr>
      <w:rFonts w:ascii="Arial" w:hAnsi="Arial" w:eastAsia="楷体_GB2312"/>
      <w:bCs/>
      <w:kern w:val="2"/>
      <w:sz w:val="32"/>
      <w:szCs w:val="32"/>
    </w:rPr>
  </w:style>
  <w:style w:type="character" w:customStyle="1" w:styleId="52">
    <w:name w:val="标题 3 字符"/>
    <w:link w:val="5"/>
    <w:qFormat/>
    <w:uiPriority w:val="0"/>
    <w:rPr>
      <w:b/>
      <w:bCs/>
      <w:kern w:val="2"/>
      <w:sz w:val="32"/>
      <w:szCs w:val="32"/>
    </w:rPr>
  </w:style>
  <w:style w:type="character" w:customStyle="1" w:styleId="53">
    <w:name w:val="标题 4 字符"/>
    <w:link w:val="6"/>
    <w:qFormat/>
    <w:uiPriority w:val="0"/>
    <w:rPr>
      <w:rFonts w:ascii="Arial" w:hAnsi="Arial" w:eastAsia="黑体"/>
      <w:b/>
      <w:bCs/>
      <w:kern w:val="2"/>
      <w:sz w:val="28"/>
      <w:szCs w:val="28"/>
    </w:rPr>
  </w:style>
  <w:style w:type="character" w:customStyle="1" w:styleId="54">
    <w:name w:val="标题 5 字符"/>
    <w:link w:val="7"/>
    <w:qFormat/>
    <w:uiPriority w:val="0"/>
    <w:rPr>
      <w:b/>
      <w:bCs/>
      <w:kern w:val="2"/>
      <w:sz w:val="28"/>
      <w:szCs w:val="28"/>
    </w:rPr>
  </w:style>
  <w:style w:type="character" w:customStyle="1" w:styleId="55">
    <w:name w:val="标题 6 字符"/>
    <w:link w:val="8"/>
    <w:qFormat/>
    <w:uiPriority w:val="0"/>
    <w:rPr>
      <w:rFonts w:ascii="Arial" w:hAnsi="Arial" w:eastAsia="黑体"/>
      <w:b/>
      <w:sz w:val="24"/>
    </w:rPr>
  </w:style>
  <w:style w:type="character" w:customStyle="1" w:styleId="56">
    <w:name w:val="标题 7 字符"/>
    <w:link w:val="9"/>
    <w:qFormat/>
    <w:uiPriority w:val="0"/>
    <w:rPr>
      <w:b/>
      <w:bCs/>
      <w:kern w:val="2"/>
      <w:sz w:val="24"/>
      <w:szCs w:val="24"/>
    </w:rPr>
  </w:style>
  <w:style w:type="character" w:customStyle="1" w:styleId="57">
    <w:name w:val="标题 8 字符"/>
    <w:link w:val="10"/>
    <w:qFormat/>
    <w:uiPriority w:val="0"/>
    <w:rPr>
      <w:rFonts w:ascii="Arial" w:hAnsi="Arial" w:eastAsia="黑体"/>
      <w:sz w:val="24"/>
    </w:rPr>
  </w:style>
  <w:style w:type="character" w:customStyle="1" w:styleId="58">
    <w:name w:val="标题 9 字符"/>
    <w:link w:val="11"/>
    <w:qFormat/>
    <w:uiPriority w:val="0"/>
    <w:rPr>
      <w:rFonts w:ascii="Arial" w:hAnsi="Arial" w:eastAsia="黑体"/>
      <w:sz w:val="24"/>
    </w:rPr>
  </w:style>
  <w:style w:type="character" w:customStyle="1" w:styleId="59">
    <w:name w:val="批注文字 字符"/>
    <w:link w:val="16"/>
    <w:qFormat/>
    <w:uiPriority w:val="0"/>
    <w:rPr>
      <w:kern w:val="2"/>
      <w:sz w:val="21"/>
      <w:szCs w:val="24"/>
    </w:rPr>
  </w:style>
  <w:style w:type="character" w:customStyle="1" w:styleId="60">
    <w:name w:val="正文文本 3 字符"/>
    <w:link w:val="17"/>
    <w:qFormat/>
    <w:uiPriority w:val="0"/>
    <w:rPr>
      <w:kern w:val="2"/>
      <w:sz w:val="24"/>
      <w:szCs w:val="24"/>
    </w:rPr>
  </w:style>
  <w:style w:type="character" w:customStyle="1" w:styleId="61">
    <w:name w:val="正文文本缩进 字符"/>
    <w:link w:val="19"/>
    <w:qFormat/>
    <w:uiPriority w:val="0"/>
    <w:rPr>
      <w:rFonts w:ascii="宋体" w:hAnsi="宋体"/>
      <w:kern w:val="2"/>
      <w:sz w:val="28"/>
      <w:szCs w:val="24"/>
    </w:rPr>
  </w:style>
  <w:style w:type="character" w:customStyle="1" w:styleId="62">
    <w:name w:val="纯文本 字符"/>
    <w:link w:val="22"/>
    <w:qFormat/>
    <w:uiPriority w:val="0"/>
    <w:rPr>
      <w:rFonts w:ascii="宋体" w:hAnsi="Courier New" w:cs="Courier New"/>
      <w:kern w:val="2"/>
      <w:sz w:val="21"/>
      <w:szCs w:val="21"/>
    </w:rPr>
  </w:style>
  <w:style w:type="character" w:customStyle="1" w:styleId="63">
    <w:name w:val="日期 字符"/>
    <w:link w:val="24"/>
    <w:qFormat/>
    <w:uiPriority w:val="0"/>
    <w:rPr>
      <w:kern w:val="2"/>
      <w:sz w:val="21"/>
      <w:szCs w:val="24"/>
    </w:rPr>
  </w:style>
  <w:style w:type="character" w:customStyle="1" w:styleId="64">
    <w:name w:val="正文文本缩进 2 字符"/>
    <w:link w:val="25"/>
    <w:qFormat/>
    <w:uiPriority w:val="0"/>
    <w:rPr>
      <w:rFonts w:ascii="宋体" w:hAnsi="宋体"/>
      <w:kern w:val="2"/>
      <w:sz w:val="28"/>
      <w:szCs w:val="24"/>
    </w:rPr>
  </w:style>
  <w:style w:type="character" w:customStyle="1" w:styleId="65">
    <w:name w:val="页脚 字符"/>
    <w:link w:val="27"/>
    <w:qFormat/>
    <w:uiPriority w:val="99"/>
    <w:rPr>
      <w:kern w:val="2"/>
      <w:sz w:val="18"/>
      <w:szCs w:val="18"/>
    </w:rPr>
  </w:style>
  <w:style w:type="character" w:customStyle="1" w:styleId="66">
    <w:name w:val="页眉 字符"/>
    <w:link w:val="28"/>
    <w:qFormat/>
    <w:uiPriority w:val="0"/>
    <w:rPr>
      <w:kern w:val="2"/>
      <w:sz w:val="18"/>
      <w:szCs w:val="18"/>
    </w:rPr>
  </w:style>
  <w:style w:type="character" w:customStyle="1" w:styleId="67">
    <w:name w:val="正文文本缩进 3 字符"/>
    <w:link w:val="32"/>
    <w:qFormat/>
    <w:uiPriority w:val="0"/>
    <w:rPr>
      <w:rFonts w:ascii="宋体" w:hAnsi="宋体"/>
      <w:kern w:val="2"/>
      <w:sz w:val="21"/>
      <w:szCs w:val="24"/>
    </w:rPr>
  </w:style>
  <w:style w:type="character" w:customStyle="1" w:styleId="68">
    <w:name w:val="正文文本 2 字符"/>
    <w:link w:val="35"/>
    <w:qFormat/>
    <w:uiPriority w:val="0"/>
    <w:rPr>
      <w:b/>
      <w:bCs/>
      <w:kern w:val="2"/>
      <w:sz w:val="28"/>
      <w:szCs w:val="24"/>
    </w:rPr>
  </w:style>
  <w:style w:type="character" w:customStyle="1" w:styleId="69">
    <w:name w:val="HTML 预设格式 字符"/>
    <w:link w:val="36"/>
    <w:qFormat/>
    <w:uiPriority w:val="0"/>
    <w:rPr>
      <w:rFonts w:ascii="黑体" w:hAnsi="Courier New" w:eastAsia="黑体" w:cs="Courier New"/>
    </w:rPr>
  </w:style>
  <w:style w:type="character" w:customStyle="1" w:styleId="70">
    <w:name w:val="批注主题 字符"/>
    <w:link w:val="39"/>
    <w:qFormat/>
    <w:uiPriority w:val="0"/>
    <w:rPr>
      <w:b/>
      <w:bCs/>
      <w:kern w:val="2"/>
      <w:sz w:val="21"/>
      <w:szCs w:val="24"/>
    </w:rPr>
  </w:style>
  <w:style w:type="paragraph" w:customStyle="1" w:styleId="71">
    <w:name w:val="样式1"/>
    <w:basedOn w:val="3"/>
    <w:qFormat/>
    <w:uiPriority w:val="0"/>
  </w:style>
  <w:style w:type="paragraph" w:customStyle="1" w:styleId="72">
    <w:name w:val="样式2"/>
    <w:basedOn w:val="3"/>
    <w:next w:val="71"/>
    <w:qFormat/>
    <w:uiPriority w:val="0"/>
  </w:style>
  <w:style w:type="paragraph" w:customStyle="1" w:styleId="73">
    <w:name w:val="样式3"/>
    <w:basedOn w:val="4"/>
    <w:qFormat/>
    <w:uiPriority w:val="0"/>
    <w:pPr>
      <w:jc w:val="center"/>
    </w:pPr>
    <w:rPr>
      <w:b/>
      <w:bCs w:val="0"/>
    </w:rPr>
  </w:style>
  <w:style w:type="paragraph" w:customStyle="1" w:styleId="74">
    <w:name w:val="样式4"/>
    <w:basedOn w:val="1"/>
    <w:qFormat/>
    <w:uiPriority w:val="0"/>
    <w:pPr>
      <w:jc w:val="center"/>
    </w:pPr>
    <w:rPr>
      <w:rFonts w:eastAsia="楷体_GB2312"/>
      <w:sz w:val="32"/>
    </w:rPr>
  </w:style>
  <w:style w:type="paragraph" w:customStyle="1" w:styleId="75">
    <w:name w:val="样式5"/>
    <w:basedOn w:val="1"/>
    <w:next w:val="72"/>
    <w:qFormat/>
    <w:uiPriority w:val="0"/>
    <w:pPr>
      <w:jc w:val="center"/>
    </w:pPr>
    <w:rPr>
      <w:rFonts w:eastAsia="楷体_GB2312"/>
      <w:sz w:val="32"/>
    </w:rPr>
  </w:style>
  <w:style w:type="character" w:customStyle="1" w:styleId="76">
    <w:name w:val="标题 2 Char"/>
    <w:qFormat/>
    <w:uiPriority w:val="0"/>
    <w:rPr>
      <w:rFonts w:ascii="Arial" w:hAnsi="Arial" w:eastAsia="楷体_GB2312"/>
      <w:bCs/>
      <w:kern w:val="2"/>
      <w:sz w:val="32"/>
      <w:szCs w:val="32"/>
      <w:lang w:val="en-US" w:eastAsia="zh-CN" w:bidi="ar-SA"/>
    </w:rPr>
  </w:style>
  <w:style w:type="character" w:customStyle="1" w:styleId="77">
    <w:name w:val="font201"/>
    <w:qFormat/>
    <w:uiPriority w:val="0"/>
    <w:rPr>
      <w:spacing w:val="250"/>
    </w:rPr>
  </w:style>
  <w:style w:type="paragraph" w:customStyle="1" w:styleId="78">
    <w:name w:val="xl27"/>
    <w:basedOn w:val="1"/>
    <w:qFormat/>
    <w:uiPriority w:val="0"/>
    <w:pPr>
      <w:widowControl/>
      <w:pBdr>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character" w:customStyle="1" w:styleId="79">
    <w:name w:val="标题 3 Char"/>
    <w:qFormat/>
    <w:uiPriority w:val="0"/>
    <w:rPr>
      <w:rFonts w:eastAsia="宋体"/>
      <w:b/>
      <w:bCs/>
      <w:kern w:val="2"/>
      <w:sz w:val="32"/>
      <w:szCs w:val="32"/>
      <w:lang w:val="en-US" w:eastAsia="zh-CN" w:bidi="ar-SA"/>
    </w:rPr>
  </w:style>
  <w:style w:type="character" w:customStyle="1" w:styleId="80">
    <w:name w:val="正文文本 Char"/>
    <w:qFormat/>
    <w:uiPriority w:val="0"/>
    <w:rPr>
      <w:rFonts w:eastAsia="宋体"/>
      <w:kern w:val="2"/>
      <w:sz w:val="28"/>
      <w:szCs w:val="24"/>
      <w:lang w:val="en-US" w:eastAsia="zh-CN" w:bidi="ar-SA"/>
    </w:rPr>
  </w:style>
  <w:style w:type="paragraph" w:customStyle="1" w:styleId="81">
    <w:name w:val="正文（首行缩进两字）"/>
    <w:basedOn w:val="1"/>
    <w:qFormat/>
    <w:uiPriority w:val="0"/>
    <w:rPr>
      <w:szCs w:val="21"/>
    </w:rPr>
  </w:style>
  <w:style w:type="paragraph" w:customStyle="1" w:styleId="82">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83">
    <w:name w:val="Char Char Char Char Char Char"/>
    <w:basedOn w:val="1"/>
    <w:next w:val="2"/>
    <w:qFormat/>
    <w:uiPriority w:val="0"/>
    <w:rPr>
      <w:sz w:val="28"/>
      <w:szCs w:val="28"/>
    </w:rPr>
  </w:style>
  <w:style w:type="paragraph" w:customStyle="1" w:styleId="84">
    <w:name w:val="xl29"/>
    <w:basedOn w:val="1"/>
    <w:qFormat/>
    <w:uiPriority w:val="0"/>
    <w:pPr>
      <w:widowControl/>
      <w:pBdr>
        <w:left w:val="single" w:color="auto" w:sz="4" w:space="0"/>
        <w:right w:val="single" w:color="auto" w:sz="4" w:space="0"/>
      </w:pBdr>
      <w:spacing w:before="100" w:beforeAutospacing="1" w:after="100" w:afterAutospacing="1"/>
      <w:jc w:val="center"/>
    </w:pPr>
    <w:rPr>
      <w:rFonts w:hint="eastAsia" w:ascii="宋体" w:hAnsi="宋体"/>
      <w:kern w:val="0"/>
      <w:sz w:val="28"/>
      <w:szCs w:val="28"/>
    </w:rPr>
  </w:style>
  <w:style w:type="paragraph" w:customStyle="1" w:styleId="85">
    <w:name w:val="xl33"/>
    <w:basedOn w:val="1"/>
    <w:qFormat/>
    <w:uiPriority w:val="0"/>
    <w:pPr>
      <w:widowControl/>
      <w:pBdr>
        <w:left w:val="single" w:color="auto" w:sz="4" w:space="0"/>
        <w:right w:val="single" w:color="auto" w:sz="4" w:space="0"/>
      </w:pBdr>
      <w:spacing w:before="100" w:beforeAutospacing="1" w:after="100" w:afterAutospacing="1"/>
      <w:jc w:val="center"/>
    </w:pPr>
    <w:rPr>
      <w:rFonts w:hint="eastAsia" w:ascii="宋体" w:hAnsi="宋体"/>
      <w:kern w:val="0"/>
      <w:sz w:val="24"/>
    </w:rPr>
  </w:style>
  <w:style w:type="paragraph" w:customStyle="1" w:styleId="86">
    <w:name w:val="正文文字 Char Char"/>
    <w:basedOn w:val="1"/>
    <w:next w:val="18"/>
    <w:qFormat/>
    <w:uiPriority w:val="0"/>
    <w:pPr>
      <w:jc w:val="center"/>
    </w:pPr>
  </w:style>
  <w:style w:type="paragraph" w:customStyle="1" w:styleId="87">
    <w:name w:val="xl71"/>
    <w:basedOn w:val="1"/>
    <w:qFormat/>
    <w:uiPriority w:val="0"/>
    <w:pPr>
      <w:widowControl/>
      <w:pBdr>
        <w:left w:val="single" w:color="auto" w:sz="4" w:space="0"/>
        <w:right w:val="single" w:color="auto" w:sz="4" w:space="0"/>
      </w:pBdr>
      <w:spacing w:before="100" w:beforeAutospacing="1" w:after="100" w:afterAutospacing="1"/>
      <w:jc w:val="center"/>
    </w:pPr>
    <w:rPr>
      <w:rFonts w:hint="eastAsia" w:ascii="宋体" w:hAnsi="宋体"/>
      <w:color w:val="000000"/>
      <w:kern w:val="0"/>
      <w:sz w:val="24"/>
    </w:rPr>
  </w:style>
  <w:style w:type="paragraph" w:customStyle="1" w:styleId="88">
    <w:name w:val="TOC 标题1"/>
    <w:basedOn w:val="3"/>
    <w:next w:val="1"/>
    <w:qFormat/>
    <w:uiPriority w:val="39"/>
    <w:pPr>
      <w:keepLines/>
      <w:widowControl/>
      <w:spacing w:before="480" w:line="276" w:lineRule="auto"/>
      <w:jc w:val="left"/>
      <w:outlineLvl w:val="9"/>
    </w:pPr>
    <w:rPr>
      <w:rFonts w:ascii="Cambria" w:hAnsi="Cambria" w:eastAsia="宋体"/>
      <w:b/>
      <w:bCs/>
      <w:color w:val="365F91"/>
      <w:kern w:val="0"/>
      <w:sz w:val="28"/>
      <w:szCs w:val="28"/>
    </w:rPr>
  </w:style>
  <w:style w:type="paragraph" w:customStyle="1" w:styleId="89">
    <w:name w:val="Char Char Char Char"/>
    <w:basedOn w:val="1"/>
    <w:qFormat/>
    <w:uiPriority w:val="0"/>
    <w:pPr>
      <w:widowControl/>
      <w:adjustRightInd w:val="0"/>
      <w:spacing w:after="160" w:line="240" w:lineRule="exact"/>
      <w:jc w:val="left"/>
      <w:textAlignment w:val="baseline"/>
    </w:pPr>
    <w:rPr>
      <w:rFonts w:ascii="Arial" w:hAnsi="Arial" w:eastAsia="Times New Roman" w:cs="Verdana"/>
      <w:b/>
      <w:kern w:val="0"/>
      <w:sz w:val="24"/>
      <w:lang w:eastAsia="en-US"/>
    </w:rPr>
  </w:style>
  <w:style w:type="character" w:customStyle="1" w:styleId="90">
    <w:name w:val="sh141"/>
    <w:qFormat/>
    <w:uiPriority w:val="0"/>
    <w:rPr>
      <w:color w:val="2B2B2B"/>
      <w:sz w:val="28"/>
      <w:szCs w:val="28"/>
    </w:rPr>
  </w:style>
  <w:style w:type="paragraph" w:customStyle="1" w:styleId="91">
    <w:name w:val="样式35"/>
    <w:basedOn w:val="1"/>
    <w:qFormat/>
    <w:uiPriority w:val="0"/>
    <w:pPr>
      <w:adjustRightInd w:val="0"/>
      <w:spacing w:line="312" w:lineRule="auto"/>
      <w:ind w:firstLine="567"/>
    </w:pPr>
    <w:rPr>
      <w:rFonts w:ascii="宋体"/>
      <w:kern w:val="0"/>
      <w:sz w:val="28"/>
      <w:szCs w:val="20"/>
    </w:rPr>
  </w:style>
  <w:style w:type="paragraph" w:customStyle="1" w:styleId="92">
    <w:name w:val="Char Char Char Char Char Char Char"/>
    <w:basedOn w:val="1"/>
    <w:qFormat/>
    <w:uiPriority w:val="0"/>
    <w:pPr>
      <w:widowControl/>
      <w:spacing w:after="160" w:line="240" w:lineRule="exact"/>
      <w:jc w:val="left"/>
    </w:pPr>
    <w:rPr>
      <w:rFonts w:ascii="Arial" w:hAnsi="Arial" w:eastAsia="Times New Roman" w:cs="Verdana"/>
      <w:b/>
      <w:kern w:val="0"/>
      <w:sz w:val="24"/>
      <w:lang w:eastAsia="en-US"/>
    </w:rPr>
  </w:style>
  <w:style w:type="character" w:customStyle="1" w:styleId="93">
    <w:name w:val="tpc_title1"/>
    <w:qFormat/>
    <w:uiPriority w:val="0"/>
    <w:rPr>
      <w:b/>
      <w:bCs/>
      <w:sz w:val="18"/>
      <w:szCs w:val="18"/>
    </w:rPr>
  </w:style>
  <w:style w:type="paragraph" w:customStyle="1" w:styleId="94">
    <w:name w:val="Char Char Char Char Char Char1"/>
    <w:basedOn w:val="1"/>
    <w:next w:val="2"/>
    <w:qFormat/>
    <w:uiPriority w:val="0"/>
    <w:rPr>
      <w:sz w:val="28"/>
      <w:szCs w:val="28"/>
    </w:rPr>
  </w:style>
  <w:style w:type="paragraph" w:customStyle="1" w:styleId="95">
    <w:name w:val="Char Char Char Char2"/>
    <w:basedOn w:val="1"/>
    <w:qFormat/>
    <w:uiPriority w:val="0"/>
    <w:pPr>
      <w:widowControl/>
      <w:adjustRightInd w:val="0"/>
      <w:spacing w:after="160" w:line="240" w:lineRule="exact"/>
      <w:jc w:val="left"/>
      <w:textAlignment w:val="baseline"/>
    </w:pPr>
    <w:rPr>
      <w:rFonts w:ascii="Arial" w:hAnsi="Arial" w:eastAsia="Times New Roman" w:cs="Verdana"/>
      <w:b/>
      <w:kern w:val="0"/>
      <w:sz w:val="24"/>
      <w:lang w:eastAsia="en-US"/>
    </w:rPr>
  </w:style>
  <w:style w:type="paragraph" w:customStyle="1" w:styleId="96">
    <w:name w:val="Char Char Char Char Char Char Char Char Char Char Char Char Char Char Char Char Char Char Char Char Char Char Char Char Char Char 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97">
    <w:name w:val="font20"/>
    <w:qFormat/>
    <w:uiPriority w:val="0"/>
  </w:style>
  <w:style w:type="paragraph" w:customStyle="1" w:styleId="98">
    <w:name w:val="Char Char Char Char Char Char Char Char Char"/>
    <w:basedOn w:val="1"/>
    <w:qFormat/>
    <w:uiPriority w:val="0"/>
    <w:pPr>
      <w:adjustRightInd w:val="0"/>
      <w:spacing w:beforeLines="150" w:afterLines="100" w:line="360" w:lineRule="auto"/>
      <w:ind w:firstLine="200" w:firstLineChars="200"/>
      <w:textAlignment w:val="baseline"/>
    </w:pPr>
    <w:rPr>
      <w:rFonts w:ascii="宋体" w:hAnsi="宋体" w:cs="宋体"/>
      <w:sz w:val="24"/>
    </w:rPr>
  </w:style>
  <w:style w:type="paragraph" w:customStyle="1" w:styleId="99">
    <w:name w:val="Char Char Char Char Char Char Char Char Char Char Char Char"/>
    <w:basedOn w:val="1"/>
    <w:qFormat/>
    <w:uiPriority w:val="0"/>
    <w:pPr>
      <w:adjustRightInd w:val="0"/>
      <w:spacing w:beforeLines="150" w:afterLines="100" w:line="360" w:lineRule="auto"/>
      <w:ind w:firstLine="200" w:firstLineChars="200"/>
      <w:textAlignment w:val="baseline"/>
    </w:pPr>
    <w:rPr>
      <w:rFonts w:ascii="宋体" w:hAnsi="宋体" w:cs="宋体"/>
      <w:sz w:val="24"/>
    </w:rPr>
  </w:style>
  <w:style w:type="paragraph" w:customStyle="1" w:styleId="100">
    <w:name w:val="样式 标题 2 + 四号 非加粗 左侧:  0.74 厘米"/>
    <w:basedOn w:val="4"/>
    <w:link w:val="101"/>
    <w:qFormat/>
    <w:uiPriority w:val="0"/>
    <w:pPr>
      <w:spacing w:line="415" w:lineRule="auto"/>
    </w:pPr>
    <w:rPr>
      <w:rFonts w:eastAsia="黑体" w:cs="宋体"/>
      <w:b/>
      <w:color w:val="FF0000"/>
      <w:kern w:val="44"/>
      <w:sz w:val="28"/>
      <w:szCs w:val="28"/>
    </w:rPr>
  </w:style>
  <w:style w:type="character" w:customStyle="1" w:styleId="101">
    <w:name w:val="样式 标题 2 + 四号 非加粗 左侧:  0.74 厘米 Char"/>
    <w:link w:val="100"/>
    <w:qFormat/>
    <w:uiPriority w:val="0"/>
    <w:rPr>
      <w:rFonts w:ascii="Arial" w:hAnsi="Arial" w:eastAsia="黑体" w:cs="宋体"/>
      <w:b/>
      <w:bCs/>
      <w:color w:val="FF0000"/>
      <w:kern w:val="44"/>
      <w:sz w:val="28"/>
      <w:szCs w:val="28"/>
      <w:lang w:val="en-US" w:eastAsia="zh-CN" w:bidi="ar-SA"/>
    </w:rPr>
  </w:style>
  <w:style w:type="paragraph" w:customStyle="1" w:styleId="102">
    <w:name w:val="样式 样式 标题 2 + 四号 非加粗 左侧:  0.74 厘米 + 仿宋_GB2312"/>
    <w:basedOn w:val="100"/>
    <w:link w:val="103"/>
    <w:qFormat/>
    <w:uiPriority w:val="0"/>
    <w:rPr>
      <w:rFonts w:eastAsia="仿宋_GB2312"/>
    </w:rPr>
  </w:style>
  <w:style w:type="character" w:customStyle="1" w:styleId="103">
    <w:name w:val="样式 样式 标题 2 + 四号 非加粗 左侧:  0.74 厘米 + 仿宋_GB2312 Char"/>
    <w:link w:val="102"/>
    <w:qFormat/>
    <w:uiPriority w:val="0"/>
    <w:rPr>
      <w:rFonts w:ascii="Arial" w:hAnsi="Arial" w:eastAsia="仿宋_GB2312" w:cs="宋体"/>
      <w:b/>
      <w:bCs/>
      <w:color w:val="FF0000"/>
      <w:kern w:val="44"/>
      <w:sz w:val="28"/>
      <w:szCs w:val="28"/>
      <w:lang w:val="en-US" w:eastAsia="zh-CN" w:bidi="ar-SA"/>
    </w:rPr>
  </w:style>
  <w:style w:type="paragraph" w:customStyle="1" w:styleId="104">
    <w:name w:val="正文一"/>
    <w:basedOn w:val="1"/>
    <w:link w:val="105"/>
    <w:qFormat/>
    <w:uiPriority w:val="0"/>
    <w:pPr>
      <w:spacing w:line="360" w:lineRule="auto"/>
      <w:ind w:firstLine="200" w:firstLineChars="200"/>
      <w:jc w:val="left"/>
    </w:pPr>
    <w:rPr>
      <w:rFonts w:ascii="仿宋_GB2312" w:eastAsia="仿宋_GB2312" w:cs="宋体"/>
      <w:kern w:val="0"/>
      <w:sz w:val="28"/>
      <w:szCs w:val="28"/>
    </w:rPr>
  </w:style>
  <w:style w:type="character" w:customStyle="1" w:styleId="105">
    <w:name w:val="正文一 Char"/>
    <w:link w:val="104"/>
    <w:qFormat/>
    <w:uiPriority w:val="0"/>
    <w:rPr>
      <w:rFonts w:ascii="仿宋_GB2312" w:eastAsia="仿宋_GB2312" w:cs="宋体"/>
      <w:sz w:val="28"/>
      <w:szCs w:val="28"/>
      <w:lang w:val="en-US" w:eastAsia="zh-CN" w:bidi="ar-SA"/>
    </w:rPr>
  </w:style>
  <w:style w:type="paragraph" w:customStyle="1" w:styleId="106">
    <w:name w:val="Char Char Char Char1"/>
    <w:basedOn w:val="1"/>
    <w:qFormat/>
    <w:uiPriority w:val="0"/>
    <w:rPr>
      <w:sz w:val="24"/>
    </w:rPr>
  </w:style>
  <w:style w:type="paragraph" w:customStyle="1" w:styleId="107">
    <w:name w:val="Char Char Char"/>
    <w:basedOn w:val="1"/>
    <w:qFormat/>
    <w:uiPriority w:val="0"/>
  </w:style>
  <w:style w:type="paragraph" w:customStyle="1" w:styleId="108">
    <w:name w:val="Char"/>
    <w:basedOn w:val="1"/>
    <w:qFormat/>
    <w:uiPriority w:val="0"/>
  </w:style>
  <w:style w:type="paragraph" w:customStyle="1" w:styleId="109">
    <w:name w:val="Char Char Char Char Char Char Char1"/>
    <w:basedOn w:val="1"/>
    <w:qFormat/>
    <w:uiPriority w:val="0"/>
    <w:pPr>
      <w:widowControl/>
      <w:spacing w:after="160" w:line="240" w:lineRule="exact"/>
      <w:jc w:val="left"/>
    </w:pPr>
    <w:rPr>
      <w:rFonts w:ascii="Arial" w:hAnsi="Arial" w:eastAsia="Times New Roman" w:cs="Verdana"/>
      <w:b/>
      <w:kern w:val="0"/>
      <w:sz w:val="24"/>
      <w:lang w:eastAsia="en-US"/>
    </w:rPr>
  </w:style>
  <w:style w:type="paragraph" w:customStyle="1" w:styleId="110">
    <w:name w:val="修订1"/>
    <w:semiHidden/>
    <w:qFormat/>
    <w:uiPriority w:val="99"/>
    <w:rPr>
      <w:rFonts w:ascii="Times New Roman" w:hAnsi="Times New Roman" w:eastAsia="宋体" w:cs="Times New Roman"/>
      <w:kern w:val="2"/>
      <w:sz w:val="21"/>
      <w:szCs w:val="24"/>
      <w:lang w:val="en-US" w:eastAsia="zh-CN" w:bidi="ar-SA"/>
    </w:rPr>
  </w:style>
  <w:style w:type="paragraph" w:customStyle="1" w:styleId="111">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112">
    <w:name w:val="Char Char Char Char3"/>
    <w:basedOn w:val="1"/>
    <w:qFormat/>
    <w:uiPriority w:val="0"/>
    <w:pPr>
      <w:widowControl/>
      <w:adjustRightInd w:val="0"/>
      <w:spacing w:after="160" w:line="240" w:lineRule="exact"/>
      <w:jc w:val="left"/>
      <w:textAlignment w:val="baseline"/>
    </w:pPr>
    <w:rPr>
      <w:rFonts w:ascii="Arial" w:hAnsi="Arial" w:eastAsia="Times New Roman" w:cs="Verdana"/>
      <w:b/>
      <w:kern w:val="0"/>
      <w:sz w:val="24"/>
      <w:lang w:eastAsia="en-US"/>
    </w:rPr>
  </w:style>
  <w:style w:type="character" w:customStyle="1" w:styleId="113">
    <w:name w:val="apple-converted-space"/>
    <w:qFormat/>
    <w:uiPriority w:val="0"/>
  </w:style>
  <w:style w:type="character" w:customStyle="1" w:styleId="114">
    <w:name w:val="未处理的提及1"/>
    <w:unhideWhenUsed/>
    <w:qFormat/>
    <w:uiPriority w:val="99"/>
    <w:rPr>
      <w:color w:val="605E5C"/>
      <w:shd w:val="clear" w:color="auto" w:fill="E1DFDD"/>
    </w:rPr>
  </w:style>
  <w:style w:type="table" w:customStyle="1" w:styleId="115">
    <w:name w:val="TableGrid"/>
    <w:qFormat/>
    <w:uiPriority w:val="0"/>
    <w:rPr>
      <w:rFonts w:ascii="等线" w:hAnsi="等线" w:eastAsia="等线"/>
      <w:kern w:val="2"/>
      <w:sz w:val="21"/>
      <w:szCs w:val="22"/>
    </w:rPr>
    <w:tblPr>
      <w:tblCellMar>
        <w:top w:w="0" w:type="dxa"/>
        <w:left w:w="0" w:type="dxa"/>
        <w:bottom w:w="0" w:type="dxa"/>
        <w:right w:w="0" w:type="dxa"/>
      </w:tblCellMar>
    </w:tblPr>
  </w:style>
  <w:style w:type="paragraph" w:customStyle="1" w:styleId="116">
    <w:name w:val="首行缩进"/>
    <w:basedOn w:val="1"/>
    <w:qFormat/>
    <w:uiPriority w:val="0"/>
    <w:pPr>
      <w:ind w:firstLine="200" w:firstLineChars="200"/>
    </w:pPr>
    <w:rPr>
      <w:rFonts w:eastAsia="仿宋_GB2312"/>
      <w:sz w:val="28"/>
      <w:szCs w:val="28"/>
    </w:rPr>
  </w:style>
  <w:style w:type="character" w:customStyle="1" w:styleId="117">
    <w:name w:val="首行缩进2字符 Char"/>
    <w:link w:val="118"/>
    <w:qFormat/>
    <w:uiPriority w:val="0"/>
    <w:rPr>
      <w:kern w:val="2"/>
      <w:sz w:val="21"/>
      <w:szCs w:val="24"/>
    </w:rPr>
  </w:style>
  <w:style w:type="paragraph" w:customStyle="1" w:styleId="118">
    <w:name w:val="首行缩进2字符"/>
    <w:basedOn w:val="1"/>
    <w:link w:val="117"/>
    <w:qFormat/>
    <w:uiPriority w:val="0"/>
    <w:pPr>
      <w:ind w:firstLine="200" w:firstLineChars="200"/>
    </w:pPr>
  </w:style>
  <w:style w:type="paragraph" w:customStyle="1" w:styleId="119">
    <w:name w:val="居中"/>
    <w:basedOn w:val="1"/>
    <w:qFormat/>
    <w:uiPriority w:val="0"/>
    <w:pPr>
      <w:widowControl/>
      <w:jc w:val="center"/>
    </w:pPr>
    <w:rPr>
      <w:rFonts w:ascii="Calibri" w:hAnsi="Calibri"/>
      <w:kern w:val="0"/>
      <w:sz w:val="24"/>
      <w:lang w:eastAsia="en-US" w:bidi="en-US"/>
    </w:rPr>
  </w:style>
  <w:style w:type="paragraph" w:customStyle="1" w:styleId="120">
    <w:name w:val="pf0"/>
    <w:basedOn w:val="1"/>
    <w:qFormat/>
    <w:uiPriority w:val="0"/>
    <w:pPr>
      <w:widowControl/>
      <w:spacing w:before="100" w:beforeAutospacing="1" w:after="100" w:afterAutospacing="1"/>
      <w:jc w:val="left"/>
    </w:pPr>
    <w:rPr>
      <w:rFonts w:ascii="宋体" w:hAnsi="宋体" w:cs="宋体"/>
      <w:kern w:val="0"/>
      <w:sz w:val="24"/>
    </w:rPr>
  </w:style>
  <w:style w:type="character" w:customStyle="1" w:styleId="121">
    <w:name w:val="cf01"/>
    <w:qFormat/>
    <w:uiPriority w:val="0"/>
    <w:rPr>
      <w:rFonts w:hint="eastAsia" w:ascii="Microsoft YaHei UI" w:hAnsi="Microsoft YaHei UI" w:eastAsia="Microsoft YaHei UI"/>
      <w:color w:val="333333"/>
      <w:sz w:val="18"/>
      <w:szCs w:val="18"/>
    </w:rPr>
  </w:style>
  <w:style w:type="paragraph" w:styleId="122">
    <w:name w:val="List Paragraph"/>
    <w:basedOn w:val="1"/>
    <w:qFormat/>
    <w:uiPriority w:val="34"/>
    <w:pPr>
      <w:spacing w:line="400" w:lineRule="exact"/>
      <w:ind w:firstLine="420" w:firstLineChars="200"/>
      <w:jc w:val="left"/>
    </w:pPr>
    <w:rPr>
      <w:sz w:val="24"/>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customXml" Target="../customXml/item1.xml"/><Relationship Id="rId24" Type="http://schemas.openxmlformats.org/officeDocument/2006/relationships/image" Target="media/image6.wmf"/><Relationship Id="rId23" Type="http://schemas.openxmlformats.org/officeDocument/2006/relationships/oleObject" Target="embeddings/oleObject5.bin"/><Relationship Id="rId22" Type="http://schemas.openxmlformats.org/officeDocument/2006/relationships/image" Target="media/image5.wmf"/><Relationship Id="rId21" Type="http://schemas.openxmlformats.org/officeDocument/2006/relationships/oleObject" Target="embeddings/oleObject4.bin"/><Relationship Id="rId20" Type="http://schemas.openxmlformats.org/officeDocument/2006/relationships/image" Target="media/image4.wmf"/><Relationship Id="rId2" Type="http://schemas.openxmlformats.org/officeDocument/2006/relationships/settings" Target="settings.xml"/><Relationship Id="rId19" Type="http://schemas.openxmlformats.org/officeDocument/2006/relationships/oleObject" Target="embeddings/oleObject3.bin"/><Relationship Id="rId18" Type="http://schemas.openxmlformats.org/officeDocument/2006/relationships/image" Target="media/image3.wmf"/><Relationship Id="rId17" Type="http://schemas.openxmlformats.org/officeDocument/2006/relationships/oleObject" Target="embeddings/oleObject2.bin"/><Relationship Id="rId16" Type="http://schemas.openxmlformats.org/officeDocument/2006/relationships/image" Target="media/image2.wmf"/><Relationship Id="rId15" Type="http://schemas.openxmlformats.org/officeDocument/2006/relationships/oleObject" Target="embeddings/oleObject1.bin"/><Relationship Id="rId14" Type="http://schemas.openxmlformats.org/officeDocument/2006/relationships/image" Target="media/image1.jpeg"/><Relationship Id="rId13" Type="http://schemas.openxmlformats.org/officeDocument/2006/relationships/theme" Target="theme/theme1.xml"/><Relationship Id="rId12" Type="http://schemas.openxmlformats.org/officeDocument/2006/relationships/footer" Target="footer6.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x-do\Desktop\01%20&#20891;&#33829;&#39044;&#35780;&#20215;23.11.2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C:\Users\fx-do\Desktop\01 军营预评价23.11.25.dotx</Template>
  <Pages>59</Pages>
  <Words>5787</Words>
  <Characters>32991</Characters>
  <Lines>274</Lines>
  <Paragraphs>77</Paragraphs>
  <TotalTime>0</TotalTime>
  <ScaleCrop>false</ScaleCrop>
  <LinksUpToDate>false</LinksUpToDate>
  <CharactersWithSpaces>38701</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2023-11-29T10:29:00Z</dcterms:created>
  <dc:creator>钟建辉</dc:creator>
  <cp:lastModifiedBy>Yyl</cp:lastModifiedBy>
  <cp:lastPrinted>2023-12-04T03:47:43Z</cp:lastPrinted>
  <dcterms:modified xsi:type="dcterms:W3CDTF">2023-12-04T03:48:02Z</dcterms:modified>
  <dc:title>安全评价报告书</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37288E1EBC504FDCBD3015CFF00C5FB3_12</vt:lpwstr>
  </property>
</Properties>
</file>